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PV-PP Measurement, Operationalization, and Empirical Validation</w:t>
      </w:r>
    </w:p>
    <w:p>
      <w:pPr>
        <w:jc w:val="center"/>
      </w:pPr>
      <w:r>
        <w:rPr>
          <w:i/>
          <w:sz w:val="22"/>
        </w:rPr>
        <w:t>Active Architecture-Supporting Specification</w:t>
      </w:r>
    </w:p>
    <w:p>
      <w:pPr>
        <w:jc w:val="center"/>
      </w:pPr>
      <w:r>
        <w:rPr>
          <w:sz w:val="20"/>
        </w:rPr>
        <w:t>Version 0.1 - June 2026</w:t>
      </w:r>
    </w:p>
    <w:tbl>
      <w:tblPr>
        <w:tblStyle w:val="TableGrid"/>
        <w:tblW w:type="auto" w:w="0"/>
        <w:jc w:val="center"/>
        <w:tblLook w:firstColumn="1" w:firstRow="1" w:lastColumn="0" w:lastRow="0" w:noHBand="0" w:noVBand="1" w:val="04A0"/>
      </w:tblPr>
      <w:tblGrid>
        <w:gridCol w:w="5083"/>
        <w:gridCol w:w="5083"/>
      </w:tblGrid>
      <w:tr>
        <w:tc>
          <w:tcPr>
            <w:tcW w:type="dxa" w:w="5083"/>
          </w:tcPr>
          <w:p>
            <w:r>
              <w:rPr>
                <w:b/>
              </w:rPr>
              <w:t>Status</w:t>
            </w:r>
          </w:p>
        </w:tc>
        <w:tc>
          <w:tcPr>
            <w:tcW w:type="dxa" w:w="5083"/>
          </w:tcPr>
          <w:p>
            <w:r>
              <w:t>Active architecture-supporting specification</w:t>
            </w:r>
          </w:p>
        </w:tc>
      </w:tr>
      <w:tr>
        <w:tc>
          <w:tcPr>
            <w:tcW w:type="dxa" w:w="5083"/>
          </w:tcPr>
          <w:p>
            <w:r>
              <w:rPr>
                <w:b/>
              </w:rPr>
              <w:t>Scope</w:t>
            </w:r>
          </w:p>
        </w:tc>
        <w:tc>
          <w:tcPr>
            <w:tcW w:type="dxa" w:w="5083"/>
          </w:tcPr>
          <w:p>
            <w:r>
              <w:t>Framework-wide measurement, proxy selection, instrumentation, and empirical validation</w:t>
            </w:r>
          </w:p>
        </w:tc>
      </w:tr>
      <w:tr>
        <w:tc>
          <w:tcPr>
            <w:tcW w:type="dxa" w:w="5083"/>
          </w:tcPr>
          <w:p>
            <w:r>
              <w:rPr>
                <w:b/>
              </w:rPr>
              <w:t>Scalar boundary</w:t>
            </w:r>
          </w:p>
        </w:tc>
        <w:tc>
          <w:tcPr>
            <w:tcW w:type="dxa" w:w="5083"/>
          </w:tcPr>
          <w:p>
            <w:r>
              <w:t>No universal PP score or cross-domain aggregation is authorized</w:t>
            </w:r>
          </w:p>
        </w:tc>
      </w:tr>
      <w:tr>
        <w:tc>
          <w:tcPr>
            <w:tcW w:type="dxa" w:w="5083"/>
          </w:tcPr>
          <w:p>
            <w:r>
              <w:rPr>
                <w:b/>
              </w:rPr>
              <w:t>Related authority</w:t>
            </w:r>
          </w:p>
        </w:tc>
        <w:tc>
          <w:tcPr>
            <w:tcW w:type="dxa" w:w="5083"/>
          </w:tcPr>
          <w:p>
            <w:r>
              <w:t>Productive Power Measurement and Terminology Specification v0.1</w:t>
            </w:r>
          </w:p>
        </w:tc>
      </w:tr>
      <w:tr>
        <w:tc>
          <w:tcPr>
            <w:tcW w:type="dxa" w:w="5083"/>
          </w:tcPr>
          <w:p>
            <w:r>
              <w:rPr>
                <w:b/>
              </w:rPr>
              <w:t>Supersedes</w:t>
            </w:r>
          </w:p>
        </w:tc>
        <w:tc>
          <w:tcPr>
            <w:tcW w:type="dxa" w:w="5083"/>
          </w:tcPr>
          <w:p>
            <w:r>
              <w:t>Measurement &amp; Empirical Quantification Framework.docx for current use</w:t>
            </w:r>
          </w:p>
        </w:tc>
      </w:tr>
    </w:tbl>
    <w:p>
      <w:pPr>
        <w:pStyle w:val="Heading1"/>
      </w:pPr>
      <w:r>
        <w:t>1. Purpose</w:t>
      </w:r>
    </w:p>
    <w:p>
      <w:r>
        <w:t>This specification defines how PV-PP constructs may be operationalized, observed, estimated, compared, and empirically tested without collapsing heterogeneous Productive Power domains into an unauthorized scalar.</w:t>
      </w:r>
    </w:p>
    <w:p>
      <w:pPr>
        <w:pStyle w:val="Heading1"/>
      </w:pPr>
      <w:r>
        <w:t>2. Measurement Objects</w:t>
      </w:r>
    </w:p>
    <w:p>
      <w:pPr>
        <w:pStyle w:val="ListBullet"/>
      </w:pPr>
      <w:r>
        <w:rPr>
          <w:b/>
        </w:rPr>
        <w:t xml:space="preserve">Productive Value: </w:t>
      </w:r>
      <w:r>
        <w:t>A produced, transferred, received, stored, consumed, or otherwise realized informational, service, goods, or claim-bearing flow.</w:t>
      </w:r>
    </w:p>
    <w:p>
      <w:pPr>
        <w:pStyle w:val="ListBullet"/>
      </w:pPr>
      <w:r>
        <w:rPr>
          <w:b/>
        </w:rPr>
        <w:t xml:space="preserve">Productive Power: </w:t>
      </w:r>
      <w:r>
        <w:t>A domain-specific capacity to generate, transform, preserve, access, coordinate, or deploy Productive Value under stated conditions.</w:t>
      </w:r>
    </w:p>
    <w:p>
      <w:pPr>
        <w:pStyle w:val="ListBullet"/>
      </w:pPr>
      <w:r>
        <w:rPr>
          <w:b/>
        </w:rPr>
        <w:t xml:space="preserve">Stored Productive Value: </w:t>
      </w:r>
      <w:r>
        <w:t>A retained good, claim, reserve, or other stored value-bearing object distinct from productive capacity.</w:t>
      </w:r>
    </w:p>
    <w:p>
      <w:pPr>
        <w:pStyle w:val="ListBullet"/>
      </w:pPr>
      <w:r>
        <w:rPr>
          <w:b/>
        </w:rPr>
        <w:t xml:space="preserve">Viability state: </w:t>
      </w:r>
      <w:r>
        <w:t>Actual or perceived conditions relevant to persistence, functioning, or collapse.</w:t>
      </w:r>
    </w:p>
    <w:p>
      <w:pPr>
        <w:pStyle w:val="ListBullet"/>
      </w:pPr>
      <w:r>
        <w:rPr>
          <w:b/>
        </w:rPr>
        <w:t xml:space="preserve">Access and configuration: </w:t>
      </w:r>
      <w:r>
        <w:t>Conditions determining whether a nominal capacity can presently operate.</w:t>
      </w:r>
    </w:p>
    <w:p>
      <w:pPr>
        <w:pStyle w:val="ListBullet"/>
      </w:pPr>
      <w:r>
        <w:rPr>
          <w:b/>
        </w:rPr>
        <w:t xml:space="preserve">Interaction and execution state: </w:t>
      </w:r>
      <w:r>
        <w:t>Commitments, selected policies, attempted actions, environmental realizations, and observed consequences.</w:t>
      </w:r>
    </w:p>
    <w:p>
      <w:pPr>
        <w:pStyle w:val="Heading1"/>
      </w:pPr>
      <w:r>
        <w:t>3. Core Measurement Rules</w:t>
      </w:r>
    </w:p>
    <w:p>
      <w:pPr>
        <w:pStyle w:val="ListBullet"/>
      </w:pPr>
      <w:r>
        <w:rPr>
          <w:b/>
        </w:rPr>
        <w:t xml:space="preserve">Capacity-output separation: </w:t>
      </w:r>
      <w:r>
        <w:t>Do not use realized PV as if it were PP. Output may provide evidence about capacity, but the constructs remain distinct.</w:t>
      </w:r>
    </w:p>
    <w:p>
      <w:pPr>
        <w:pStyle w:val="ListBullet"/>
      </w:pPr>
      <w:r>
        <w:rPr>
          <w:b/>
        </w:rPr>
        <w:t xml:space="preserve">Domain preservation: </w:t>
      </w:r>
      <w:r>
        <w:t>Measure PP in the domain and unit relevant to the capacity being studied.</w:t>
      </w:r>
    </w:p>
    <w:p>
      <w:pPr>
        <w:pStyle w:val="ListBullet"/>
      </w:pPr>
      <w:r>
        <w:rPr>
          <w:b/>
        </w:rPr>
        <w:t xml:space="preserve">Level specification: </w:t>
      </w:r>
      <w:r>
        <w:t>State whether the measurement concerns an individual, relationship, team, institution, collective entity, or society.</w:t>
      </w:r>
    </w:p>
    <w:p>
      <w:pPr>
        <w:pStyle w:val="ListBullet"/>
      </w:pPr>
      <w:r>
        <w:rPr>
          <w:b/>
        </w:rPr>
        <w:t xml:space="preserve">Condition specification: </w:t>
      </w:r>
      <w:r>
        <w:t>State the environmental, technological, institutional, relational, and temporal conditions under which the capacity is available.</w:t>
      </w:r>
    </w:p>
    <w:p>
      <w:pPr>
        <w:pStyle w:val="ListBullet"/>
      </w:pPr>
      <w:r>
        <w:rPr>
          <w:b/>
        </w:rPr>
        <w:t xml:space="preserve">Epistemic labeling: </w:t>
      </w:r>
      <w:r>
        <w:t>Distinguish actual, perceived, estimated, expected, and projected quantities.</w:t>
      </w:r>
    </w:p>
    <w:p>
      <w:pPr>
        <w:pStyle w:val="ListBullet"/>
      </w:pPr>
      <w:r>
        <w:rPr>
          <w:b/>
        </w:rPr>
        <w:t xml:space="preserve">Time indexing: </w:t>
      </w:r>
      <w:r>
        <w:t>State the observation period, update interval, and relevant horizon.</w:t>
      </w:r>
    </w:p>
    <w:p>
      <w:pPr>
        <w:pStyle w:val="ListBullet"/>
      </w:pPr>
      <w:r>
        <w:rPr>
          <w:b/>
        </w:rPr>
        <w:t xml:space="preserve">Uncertainty visibility: </w:t>
      </w:r>
      <w:r>
        <w:t>Report confidence, error bounds, missingness, and model dependence.</w:t>
      </w:r>
    </w:p>
    <w:p>
      <w:pPr>
        <w:pStyle w:val="ListBullet"/>
      </w:pPr>
      <w:r>
        <w:rPr>
          <w:b/>
        </w:rPr>
        <w:t xml:space="preserve">No hidden scalarization: </w:t>
      </w:r>
      <w:r>
        <w:t>Do not weight and sum heterogeneous measurements unless the applicable scalar-reduction conditions have been demonstrated.</w:t>
      </w:r>
    </w:p>
    <w:p>
      <w:pPr>
        <w:pStyle w:val="Heading1"/>
      </w:pPr>
      <w:r>
        <w:t>4. Measurement Forms</w:t>
      </w:r>
    </w:p>
    <w:p>
      <w:pPr>
        <w:pStyle w:val="Heading2"/>
      </w:pPr>
      <w:r>
        <w:t>4.1 Direct observation</w:t>
      </w:r>
    </w:p>
    <w:p>
      <w:r>
        <w:t>Use direct measurement where the construct and unit are observable, such as quantities transferred, elapsed time, energy used, messages sent, stored inventory, or completed tasks.</w:t>
      </w:r>
    </w:p>
    <w:p>
      <w:pPr>
        <w:pStyle w:val="Heading2"/>
      </w:pPr>
      <w:r>
        <w:t>4.2 Proxy measurement</w:t>
      </w:r>
    </w:p>
    <w:p>
      <w:r>
        <w:t>Use proxies when capacity cannot be observed directly. Each proxy must identify the construct it is intended to indicate, the expected causal relation, known confounders, and the conditions under which the proxy may fail.</w:t>
      </w:r>
    </w:p>
    <w:p>
      <w:pPr>
        <w:pStyle w:val="Heading2"/>
      </w:pPr>
      <w:r>
        <w:t>4.3 Performance-based estimation</w:t>
      </w:r>
    </w:p>
    <w:p>
      <w:r>
        <w:t>Repeated performance can support an estimate of PP when task conditions are controlled or modeled. A single success, wage, price, or competitive win is insufficient to establish a general PP level.</w:t>
      </w:r>
    </w:p>
    <w:p>
      <w:pPr>
        <w:pStyle w:val="Heading2"/>
      </w:pPr>
      <w:r>
        <w:t>4.4 Structural measurement</w:t>
      </w:r>
    </w:p>
    <w:p>
      <w:r>
        <w:t>Some capacities are best measured through structure: available tools, valid credentials, network access, institutional standing, relationship-specific coordination, or feasible team configurations.</w:t>
      </w:r>
    </w:p>
    <w:p>
      <w:pPr>
        <w:pStyle w:val="Heading2"/>
      </w:pPr>
      <w:r>
        <w:t>4.5 Counterfactual estimation</w:t>
      </w:r>
    </w:p>
    <w:p>
      <w:r>
        <w:t>Where causal claims are intended, use randomized comparison, matched controls, difference-in-differences, interrupted time series, or another stated counterfactual design.</w:t>
      </w:r>
    </w:p>
    <w:p>
      <w:pPr>
        <w:pStyle w:val="Heading1"/>
      </w:pPr>
      <w:r>
        <w:t>5. Measurement Record</w:t>
      </w:r>
    </w:p>
    <w:p>
      <w:r>
        <w:t>Each formal measurement should identify:</w:t>
      </w:r>
    </w:p>
    <w:p>
      <w:pPr>
        <w:pStyle w:val="ListBullet"/>
      </w:pPr>
      <w:r>
        <w:t>construct and domain;</w:t>
      </w:r>
    </w:p>
    <w:p>
      <w:pPr>
        <w:pStyle w:val="ListBullet"/>
      </w:pPr>
      <w:r>
        <w:t>unit and denominator;</w:t>
      </w:r>
    </w:p>
    <w:p>
      <w:pPr>
        <w:pStyle w:val="ListBullet"/>
      </w:pPr>
      <w:r>
        <w:t>entity and level of analysis;</w:t>
      </w:r>
    </w:p>
    <w:p>
      <w:pPr>
        <w:pStyle w:val="ListBullet"/>
      </w:pPr>
      <w:r>
        <w:t>actual, perceived, estimated, expected, or projected status;</w:t>
      </w:r>
    </w:p>
    <w:p>
      <w:pPr>
        <w:pStyle w:val="ListBullet"/>
      </w:pPr>
      <w:r>
        <w:t>observation time and horizon;</w:t>
      </w:r>
    </w:p>
    <w:p>
      <w:pPr>
        <w:pStyle w:val="ListBullet"/>
      </w:pPr>
      <w:r>
        <w:t>access, configuration, and environmental conditions;</w:t>
      </w:r>
    </w:p>
    <w:p>
      <w:pPr>
        <w:pStyle w:val="ListBullet"/>
      </w:pPr>
      <w:r>
        <w:t>data source and collection method;</w:t>
      </w:r>
    </w:p>
    <w:p>
      <w:pPr>
        <w:pStyle w:val="ListBullet"/>
      </w:pPr>
      <w:r>
        <w:t>uncertainty, missingness, and known confounders;</w:t>
      </w:r>
    </w:p>
    <w:p>
      <w:pPr>
        <w:pStyle w:val="ListBullet"/>
      </w:pPr>
      <w:r>
        <w:t>whether the value is raw, normalized, indexed, or model-derived.</w:t>
      </w:r>
    </w:p>
    <w:p>
      <w:pPr>
        <w:pStyle w:val="Heading1"/>
      </w:pPr>
      <w:r>
        <w:t>6. Productive Value Measurement</w:t>
      </w:r>
    </w:p>
    <w:p>
      <w:r>
        <w:t>PV should be recorded in its native or operational unit whenever possible. Monetary valuation may be useful for a particular application, but price is evidence about exchange conditions rather than a universal measure of all PV.</w:t>
      </w:r>
    </w:p>
    <w:p>
      <w:pPr>
        <w:pStyle w:val="ListBullet"/>
      </w:pPr>
      <w:r>
        <w:t>Record the object, service, information, claim, or transfer actually realized.</w:t>
      </w:r>
    </w:p>
    <w:p>
      <w:pPr>
        <w:pStyle w:val="ListBullet"/>
      </w:pPr>
      <w:r>
        <w:t>Record direction, source, recipient, timing, quantity, and relevant quality.</w:t>
      </w:r>
    </w:p>
    <w:p>
      <w:pPr>
        <w:pStyle w:val="ListBullet"/>
      </w:pPr>
      <w:r>
        <w:t>Distinguish production, transfer, storage, consumption, loss, and destruction.</w:t>
      </w:r>
    </w:p>
    <w:p>
      <w:pPr>
        <w:pStyle w:val="ListBullet"/>
      </w:pPr>
      <w:r>
        <w:t>Do not label injury, coercion, theft, or destruction as productive value merely because the effect can be priced.</w:t>
      </w:r>
    </w:p>
    <w:p>
      <w:pPr>
        <w:pStyle w:val="ListBullet"/>
      </w:pPr>
      <w:r>
        <w:t>Where market value, replacement cost, or willingness-to-pay is used, state that it is an application-specific valuation anchor.</w:t>
      </w:r>
    </w:p>
    <w:p>
      <w:pPr>
        <w:pStyle w:val="Heading1"/>
      </w:pPr>
      <w:r>
        <w:t>7. Productive Power Measurement</w:t>
      </w:r>
    </w:p>
    <w:p>
      <w:r>
        <w:t>PP is ordinarily represented as a structured set or vector of domain-specific capacities. The components need not share units and need not be aggregable.</w:t>
      </w:r>
    </w:p>
    <w:p>
      <w:r>
        <w:t>A PP measurement may include:</w:t>
      </w:r>
    </w:p>
    <w:p>
      <w:pPr>
        <w:pStyle w:val="ListBullet"/>
      </w:pPr>
      <w:r>
        <w:t>nominal capacity possessed by the entity;</w:t>
      </w:r>
    </w:p>
    <w:p>
      <w:pPr>
        <w:pStyle w:val="ListBullet"/>
      </w:pPr>
      <w:r>
        <w:t>available capacity under present access conditions;</w:t>
      </w:r>
    </w:p>
    <w:p>
      <w:pPr>
        <w:pStyle w:val="ListBullet"/>
      </w:pPr>
      <w:r>
        <w:t>effective capacity after constraints and configuration are applied;</w:t>
      </w:r>
    </w:p>
    <w:p>
      <w:pPr>
        <w:pStyle w:val="ListBullet"/>
      </w:pPr>
      <w:r>
        <w:t>latent capacity that exists but is not presently deployable;</w:t>
      </w:r>
    </w:p>
    <w:p>
      <w:pPr>
        <w:pStyle w:val="ListBullet"/>
      </w:pPr>
      <w:r>
        <w:t>relationship-specific or team-specific capacity;</w:t>
      </w:r>
    </w:p>
    <w:p>
      <w:pPr>
        <w:pStyle w:val="ListBullet"/>
      </w:pPr>
      <w:r>
        <w:t>resilience, redundancy, or vulnerability of the productive arrangement.</w:t>
      </w:r>
    </w:p>
    <w:p>
      <w:pPr>
        <w:pStyle w:val="Heading1"/>
      </w:pPr>
      <w:r>
        <w:t>8. Normalization and Indexing</w:t>
      </w:r>
    </w:p>
    <w:p>
      <w:r>
        <w:t>Normalization may be used for visualization, within-domain comparison, or statistical modeling. A normalized index does not become an ontological PP quantity merely because it is expressed on a common scale.</w:t>
      </w:r>
    </w:p>
    <w:p>
      <w:pPr>
        <w:pStyle w:val="ListBullet"/>
      </w:pPr>
      <w:r>
        <w:t>Preserve the raw measurement alongside the normalized value.</w:t>
      </w:r>
    </w:p>
    <w:p>
      <w:pPr>
        <w:pStyle w:val="ListBullet"/>
      </w:pPr>
      <w:r>
        <w:t>State the reference population, baseline, and transformation.</w:t>
      </w:r>
    </w:p>
    <w:p>
      <w:pPr>
        <w:pStyle w:val="ListBullet"/>
      </w:pPr>
      <w:r>
        <w:t>Do not compare index distances across domains unless a valid mapping is established.</w:t>
      </w:r>
    </w:p>
    <w:p>
      <w:pPr>
        <w:pStyle w:val="ListBullet"/>
      </w:pPr>
      <w:r>
        <w:t>Do not use a dashboard total as a governing policy score.</w:t>
      </w:r>
    </w:p>
    <w:p>
      <w:pPr>
        <w:pStyle w:val="ListBullet"/>
      </w:pPr>
      <w:r>
        <w:t>Treat any composite index as an application-specific analytic artifact with explicit limits.</w:t>
      </w:r>
    </w:p>
    <w:p>
      <w:pPr>
        <w:pStyle w:val="Heading1"/>
      </w:pPr>
      <w:r>
        <w:t>9. Scalar Summaries</w:t>
      </w:r>
    </w:p>
    <w:p>
      <w:r>
        <w:t>Scalar summaries are permitted only in bounded contexts where the aggregation conditions are stated and supported. They may be descriptive, diagnostic, or application-specific, but they do not automatically govern selection.</w:t>
      </w:r>
    </w:p>
    <w:p>
      <w:r>
        <w:t>A scalar summary must identify its domain, admissible set, normalization, weighting rule, time interval, and whether the result is descriptive or decision-authoritative.</w:t>
      </w:r>
    </w:p>
    <w:p>
      <w:pPr>
        <w:pStyle w:val="Heading1"/>
      </w:pPr>
      <w:r>
        <w:t>10. Change Measurement</w:t>
      </w:r>
    </w:p>
    <w:p>
      <w:r>
        <w:t>A change in PP should be measured as a change in one or more identified capacities, access conditions, configurations, or feasible productive arrangements.</w:t>
      </w:r>
    </w:p>
    <w:p>
      <w:pPr>
        <w:pStyle w:val="ListBullet"/>
      </w:pPr>
      <w:r>
        <w:t>before-and-after component measurement;</w:t>
      </w:r>
    </w:p>
    <w:p>
      <w:pPr>
        <w:pStyle w:val="ListBullet"/>
      </w:pPr>
      <w:r>
        <w:t>controlled or matched comparison;</w:t>
      </w:r>
    </w:p>
    <w:p>
      <w:pPr>
        <w:pStyle w:val="ListBullet"/>
      </w:pPr>
      <w:r>
        <w:t>change in task-conditioned performance;</w:t>
      </w:r>
    </w:p>
    <w:p>
      <w:pPr>
        <w:pStyle w:val="ListBullet"/>
      </w:pPr>
      <w:r>
        <w:t>change in feasible policy or interaction availability;</w:t>
      </w:r>
    </w:p>
    <w:p>
      <w:pPr>
        <w:pStyle w:val="ListBullet"/>
      </w:pPr>
      <w:r>
        <w:t>change in redundancy, concentration, or resilience;</w:t>
      </w:r>
    </w:p>
    <w:p>
      <w:pPr>
        <w:pStyle w:val="ListBullet"/>
      </w:pPr>
      <w:r>
        <w:t>change in relationship-specific or institutional capability.</w:t>
      </w:r>
    </w:p>
    <w:p>
      <w:r>
        <w:t>Improved income, output, or competitive success may be evidence of PP change, but it may also result from prices, luck, power, scarcity, institutional privilege, or environmental change.</w:t>
      </w:r>
    </w:p>
    <w:p>
      <w:pPr>
        <w:pStyle w:val="Heading1"/>
      </w:pPr>
      <w:r>
        <w:t>11. Short- and Long-Horizon Consequences</w:t>
      </w:r>
    </w:p>
    <w:p>
      <w:r>
        <w:t>Where interactions have temporally divergent effects, record consequences at multiple horizons. Do not reduce them automatically to a short-run PV number and a long-run PV number.</w:t>
      </w:r>
    </w:p>
    <w:p>
      <w:r>
        <w:t>The preferred representation preserves the affected PP, SPV, viability, relational, institutional, and environmental components at each relevant time.</w:t>
      </w:r>
    </w:p>
    <w:p>
      <w:pPr>
        <w:pStyle w:val="Heading1"/>
      </w:pPr>
      <w:r>
        <w:t>12. Relationship, Team, and Societal Measurement</w:t>
      </w:r>
    </w:p>
    <w:p>
      <w:r>
        <w:t>Relationship-specific and team PP may contain complementarity, coordination, shared history, or exclusive access not attributable wholly to either member.</w:t>
      </w:r>
    </w:p>
    <w:p>
      <w:r>
        <w:t>Societal PP should be measured over feasible simultaneous arrangements and should avoid double-counting agents, tools, institutions, and relationship-specific capacities.</w:t>
      </w:r>
    </w:p>
    <w:p>
      <w:pPr>
        <w:pStyle w:val="ListBullet"/>
      </w:pPr>
      <w:r>
        <w:t>Do not sum all hypothetical team capacities.</w:t>
      </w:r>
    </w:p>
    <w:p>
      <w:pPr>
        <w:pStyle w:val="ListBullet"/>
      </w:pPr>
      <w:r>
        <w:t>Do not count one exclusive resource in multiple simultaneous uses.</w:t>
      </w:r>
    </w:p>
    <w:p>
      <w:pPr>
        <w:pStyle w:val="ListBullet"/>
      </w:pPr>
      <w:r>
        <w:t>Separate infrastructure, institutions, knowledge systems, and agent capacities unless a justified mapping exists.</w:t>
      </w:r>
    </w:p>
    <w:p>
      <w:pPr>
        <w:pStyle w:val="ListBullet"/>
      </w:pPr>
      <w:r>
        <w:t>Report distributions, bottlenecks, concentration, redundancy, and reachability rather than only totals.</w:t>
      </w:r>
    </w:p>
    <w:p>
      <w:pPr>
        <w:pStyle w:val="ListBullet"/>
      </w:pPr>
      <w:r>
        <w:t>Treat GDP, patents, education, health, and trust indicators as partial evidence, not interchangeable societal PP units.</w:t>
      </w:r>
    </w:p>
    <w:p>
      <w:pPr>
        <w:pStyle w:val="Heading1"/>
      </w:pPr>
      <w:r>
        <w:t>13. Empirical Validation Program</w:t>
      </w:r>
    </w:p>
    <w:p>
      <w:r>
        <w:t>Framework claims may be tested through three complementary forms of evidence:</w:t>
      </w:r>
    </w:p>
    <w:p>
      <w:pPr>
        <w:pStyle w:val="ListBullet"/>
      </w:pPr>
      <w:r>
        <w:rPr>
          <w:b/>
        </w:rPr>
        <w:t xml:space="preserve">Construct validation: </w:t>
      </w:r>
      <w:r>
        <w:t>Do the indicators track the intended PV-PP construct rather than a neighboring construct?</w:t>
      </w:r>
    </w:p>
    <w:p>
      <w:pPr>
        <w:pStyle w:val="ListBullet"/>
      </w:pPr>
      <w:r>
        <w:rPr>
          <w:b/>
        </w:rPr>
        <w:t xml:space="preserve">Predictive validation: </w:t>
      </w:r>
      <w:r>
        <w:t>Does a measured capacity predict the specified outcome under the stated conditions?</w:t>
      </w:r>
    </w:p>
    <w:p>
      <w:pPr>
        <w:pStyle w:val="ListBullet"/>
      </w:pPr>
      <w:r>
        <w:rPr>
          <w:b/>
        </w:rPr>
        <w:t xml:space="preserve">Mechanism validation: </w:t>
      </w:r>
      <w:r>
        <w:t>Does the observed sequence match the proposed transition, access, coordination, or constraint mechanism?</w:t>
      </w:r>
    </w:p>
    <w:p>
      <w:pPr>
        <w:pStyle w:val="Heading1"/>
      </w:pPr>
      <w:r>
        <w:t>14. Example Test Families</w:t>
      </w:r>
    </w:p>
    <w:p>
      <w:pPr>
        <w:pStyle w:val="ListBullet"/>
      </w:pPr>
      <w:r>
        <w:t>Technology access changes effective PP and feasible production arrangements without equating capacity with realized output.</w:t>
      </w:r>
    </w:p>
    <w:p>
      <w:pPr>
        <w:pStyle w:val="ListBullet"/>
      </w:pPr>
      <w:r>
        <w:t>Knowledge transfer changes the distribution and resilience of PP under controlled conditions.</w:t>
      </w:r>
    </w:p>
    <w:p>
      <w:pPr>
        <w:pStyle w:val="ListBullet"/>
      </w:pPr>
      <w:r>
        <w:t>Relational memory changes counterpart-dependent policy construction or projection without directly programming trust.</w:t>
      </w:r>
    </w:p>
    <w:p>
      <w:pPr>
        <w:pStyle w:val="ListBullet"/>
      </w:pPr>
      <w:r>
        <w:t>Opportunity closure changes future reachability even when current scalar output is unchanged.</w:t>
      </w:r>
    </w:p>
    <w:p>
      <w:pPr>
        <w:pStyle w:val="ListBullet"/>
      </w:pPr>
      <w:r>
        <w:t>Institutional standing changes policy access or execution validity while leaving physical capability intact.</w:t>
      </w:r>
    </w:p>
    <w:p>
      <w:pPr>
        <w:pStyle w:val="Heading1"/>
      </w:pPr>
      <w:r>
        <w:t>15. Statistical and Computational Methods</w:t>
      </w:r>
    </w:p>
    <w:p>
      <w:r>
        <w:t>Regression, survival analysis, causal inference, network analysis, sequence analysis, and agent-based simulation may all be used. The method must match the claim and preserve the framework's distinctions.</w:t>
      </w:r>
    </w:p>
    <w:p>
      <w:pPr>
        <w:pStyle w:val="ListBullet"/>
      </w:pPr>
      <w:r>
        <w:t>A regression coefficient is not itself a PP domain.</w:t>
      </w:r>
    </w:p>
    <w:p>
      <w:pPr>
        <w:pStyle w:val="ListBullet"/>
      </w:pPr>
      <w:r>
        <w:t>A latent factor is not automatically an ontological quantity.</w:t>
      </w:r>
    </w:p>
    <w:p>
      <w:pPr>
        <w:pStyle w:val="ListBullet"/>
      </w:pPr>
      <w:r>
        <w:t>Predictive accuracy does not prove the proposed mechanism.</w:t>
      </w:r>
    </w:p>
    <w:p>
      <w:pPr>
        <w:pStyle w:val="ListBullet"/>
      </w:pPr>
      <w:r>
        <w:t>Calibration should be separated from confirmatory validation.</w:t>
      </w:r>
    </w:p>
    <w:p>
      <w:pPr>
        <w:pStyle w:val="ListBullet"/>
      </w:pPr>
      <w:r>
        <w:t>Negative results and boundary failures should be retained.</w:t>
      </w:r>
    </w:p>
    <w:p>
      <w:pPr>
        <w:pStyle w:val="Heading1"/>
      </w:pPr>
      <w:r>
        <w:t>16. Instrumentation Requirements</w:t>
      </w:r>
    </w:p>
    <w:p>
      <w:r>
        <w:t>Simulation and runtime instrumentation should retain, where applicable:</w:t>
      </w:r>
    </w:p>
    <w:p>
      <w:pPr>
        <w:pStyle w:val="ListBullet"/>
      </w:pPr>
      <w:r>
        <w:t>state before and after the event;</w:t>
      </w:r>
    </w:p>
    <w:p>
      <w:pPr>
        <w:pStyle w:val="ListBullet"/>
      </w:pPr>
      <w:r>
        <w:t>policy set, selected policy, and attempted action;</w:t>
      </w:r>
    </w:p>
    <w:p>
      <w:pPr>
        <w:pStyle w:val="ListBullet"/>
      </w:pPr>
      <w:r>
        <w:t>constraints, access conditions, and configuration;</w:t>
      </w:r>
    </w:p>
    <w:p>
      <w:pPr>
        <w:pStyle w:val="ListBullet"/>
      </w:pPr>
      <w:r>
        <w:t>counterparty and relationship identifiers;</w:t>
      </w:r>
    </w:p>
    <w:p>
      <w:pPr>
        <w:pStyle w:val="ListBullet"/>
      </w:pPr>
      <w:r>
        <w:t>PV produced, transferred, stored, lost, or consumed;</w:t>
      </w:r>
    </w:p>
    <w:p>
      <w:pPr>
        <w:pStyle w:val="ListBullet"/>
      </w:pPr>
      <w:r>
        <w:t>PP component changes and evidence basis;</w:t>
      </w:r>
    </w:p>
    <w:p>
      <w:pPr>
        <w:pStyle w:val="ListBullet"/>
      </w:pPr>
      <w:r>
        <w:t>uncertainty, projection error, and observation limits;</w:t>
      </w:r>
    </w:p>
    <w:p>
      <w:pPr>
        <w:pStyle w:val="ListBullet"/>
      </w:pPr>
      <w:r>
        <w:t>environmental realization and causal sequence.</w:t>
      </w:r>
    </w:p>
    <w:p>
      <w:pPr>
        <w:pStyle w:val="Heading1"/>
      </w:pPr>
      <w:r>
        <w:t>17. Ethical and Governance Boundaries</w:t>
      </w:r>
    </w:p>
    <w:p>
      <w:pPr>
        <w:pStyle w:val="ListBullet"/>
      </w:pPr>
      <w:r>
        <w:t>Sensitive health, psychological, social, and institutional data require purpose limitation, privacy controls, and appropriate consent or authority.</w:t>
      </w:r>
    </w:p>
    <w:p>
      <w:pPr>
        <w:pStyle w:val="ListBullet"/>
      </w:pPr>
      <w:r>
        <w:t>Proxy measures may reproduce discrimination or institutional bias.</w:t>
      </w:r>
    </w:p>
    <w:p>
      <w:pPr>
        <w:pStyle w:val="ListBullet"/>
      </w:pPr>
      <w:r>
        <w:t>A PP profile must not be treated as a complete measure of a person's worth.</w:t>
      </w:r>
    </w:p>
    <w:p>
      <w:pPr>
        <w:pStyle w:val="ListBullet"/>
      </w:pPr>
      <w:r>
        <w:t>Measurement error should not be concealed by a polished composite score.</w:t>
      </w:r>
    </w:p>
    <w:p>
      <w:pPr>
        <w:pStyle w:val="ListBullet"/>
      </w:pPr>
      <w:r>
        <w:t>Application-specific scoring systems require separate governance and validation.</w:t>
      </w:r>
    </w:p>
    <w:p>
      <w:pPr>
        <w:pStyle w:val="Heading1"/>
      </w:pPr>
      <w:r>
        <w:t>18. Validation Requirements</w:t>
      </w:r>
    </w:p>
    <w:p>
      <w:pPr>
        <w:pStyle w:val="ListBullet"/>
      </w:pPr>
      <w:r>
        <w:t>A measured PP component must remain distinguishable from realized PV.</w:t>
      </w:r>
    </w:p>
    <w:p>
      <w:pPr>
        <w:pStyle w:val="ListBullet"/>
      </w:pPr>
      <w:r>
        <w:t>The same numerical value must not silently represent different units or denominators.</w:t>
      </w:r>
    </w:p>
    <w:p>
      <w:pPr>
        <w:pStyle w:val="ListBullet"/>
      </w:pPr>
      <w:r>
        <w:t>Cross-domain aggregation must fail closed unless its admissibility conditions are documented.</w:t>
      </w:r>
    </w:p>
    <w:p>
      <w:pPr>
        <w:pStyle w:val="ListBullet"/>
      </w:pPr>
      <w:r>
        <w:t>Actual, perceived, estimated, expected, and projected values must be separately labeled.</w:t>
      </w:r>
    </w:p>
    <w:p>
      <w:pPr>
        <w:pStyle w:val="ListBullet"/>
      </w:pPr>
      <w:r>
        <w:t>Team and societal calculations must enforce feasibility and anti-double-counting.</w:t>
      </w:r>
    </w:p>
    <w:p>
      <w:pPr>
        <w:pStyle w:val="ListBullet"/>
      </w:pPr>
      <w:r>
        <w:t>Proxy failure and uncertainty must remain visible in records.</w:t>
      </w:r>
    </w:p>
    <w:p>
      <w:pPr>
        <w:pStyle w:val="ListBullet"/>
      </w:pPr>
      <w:r>
        <w:t>Empirical success in one environment must not be generalized without boundary testing.</w:t>
      </w:r>
    </w:p>
    <w:p>
      <w:pPr>
        <w:pStyle w:val="Heading1"/>
      </w:pPr>
      <w:r>
        <w:t>19. Boundaries</w:t>
      </w:r>
    </w:p>
    <w:p>
      <w:pPr>
        <w:pStyle w:val="ListBullet"/>
      </w:pPr>
      <w:r>
        <w:t>This specification does not provide a universal PP score.</w:t>
      </w:r>
    </w:p>
    <w:p>
      <w:pPr>
        <w:pStyle w:val="ListBullet"/>
      </w:pPr>
      <w:r>
        <w:t>It does not authorize welfare aggregation or interpersonal utility comparison.</w:t>
      </w:r>
    </w:p>
    <w:p>
      <w:pPr>
        <w:pStyle w:val="ListBullet"/>
      </w:pPr>
      <w:r>
        <w:t>It does not define market price as universal PV magnitude.</w:t>
      </w:r>
    </w:p>
    <w:p>
      <w:pPr>
        <w:pStyle w:val="ListBullet"/>
      </w:pPr>
      <w:r>
        <w:t>It does not make every framework construct directly measurable.</w:t>
      </w:r>
    </w:p>
    <w:p>
      <w:pPr>
        <w:pStyle w:val="ListBullet"/>
      </w:pPr>
      <w:r>
        <w:t>It does not replace domain-specific measurement protocols.</w:t>
      </w:r>
    </w:p>
    <w:p>
      <w:pPr>
        <w:pStyle w:val="ListBullet"/>
      </w:pPr>
      <w:r>
        <w:t>It does not change the canonical operator architecture.</w:t>
      </w:r>
    </w:p>
    <w:p>
      <w:pPr>
        <w:pStyle w:val="Heading1"/>
      </w:pPr>
      <w:r>
        <w:t>20. Authority and Status</w:t>
      </w:r>
    </w:p>
    <w:p>
      <w:r>
        <w:t>Version 0.1 is the active supporting specification for framework-wide measurement, operationalization, and empirical validation. It supersedes the legacy Measurement &amp; Empirical Quantification Framework for current use and should be read with the Productive Power Measurement and Terminology Specification and the scalar-reduction authority set.</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PV-PP Measurement, Operationalization, and Empirical Validation - Active Supporting Specification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