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Decision Framework</w:t>
        <w:br/>
        <w:t>Shared Policy-Conditional Projection Service</w:t>
      </w:r>
    </w:p>
    <w:p>
      <w:pPr>
        <w:jc w:val="center"/>
      </w:pPr>
      <w:r>
        <w:rPr>
          <w:i/>
        </w:rPr>
        <w:t>Canonical Specification v1.0 — August 2026</w:t>
      </w:r>
    </w:p>
    <w:p>
      <w:pPr>
        <w:jc w:val="center"/>
      </w:pPr>
      <w:r>
        <w:t>Status: Canonical architecture-supporting specification. Approved for integration after current-source cross-document review.</w:t>
      </w:r>
    </w:p>
    <w:p>
      <w:pPr>
        <w:pStyle w:val="Heading1"/>
      </w:pPr>
      <w:r>
        <w:t>0. Revision Disposition</w:t>
      </w:r>
    </w:p>
    <w:p>
      <w:r>
        <w:t>v1.0 is the promoted canonical form of the Shared Policy-Conditional Projection Service. It incorporates the current active Opportunity Closure, Graph, H, Adequacy, Sigma, and architecture-supporting authorities and closes the previously implicit Layer 2 contract for policy-conditioned projection. The service receives an explicit projection-relevant represented-state bundle S_I^proj(t), returns one authoritative Q_t(π) record per policy/state/model/horizon tuple, preserves finite-horizon uncertainty through right-censoring, and remains non-scalar and non-selective.</w:t>
      </w:r>
    </w:p>
    <w:p>
      <w:pPr>
        <w:pStyle w:val="Heading1"/>
      </w:pPr>
      <w:r>
        <w:t>1. Purpose</w:t>
      </w:r>
    </w:p>
    <w:p>
      <w:r>
        <w:t>This specification defines the shared Layer 2 policy-conditional projection service that converts an explicitly supplied candidate policy, the perceived decision state, represented context, current reachability structure, and a finite licensed projection horizon into a common projection record for downstream evaluation.</w:t>
      </w:r>
    </w:p>
    <w:p>
      <w:r>
        <w:t>The service predicts policy-conditioned domain trajectories, policy-conditioned future reachability, projected opportunity closure or reopening, and domain-specific projected collapse horizons. It does not generate policies, determine feasibility, frame the preservation target, classify adequacy, rank policies, select a policy, or execute a policy.</w:t>
      </w:r>
    </w:p>
    <w:p>
      <w:pPr>
        <w:pStyle w:val="Heading1"/>
      </w:pPr>
      <w:r>
        <w:t>2. Architectural Status and Ownership</w:t>
      </w:r>
    </w:p>
    <w:p>
      <w:r>
        <w:t>Projection is a shared Layer 2 architecture service rather than a sovereign decision operator. It introduces no new decision stage and does not alter the canonical operator sequence. Layer 2 architecture owns the projection contract; downstream operators consume the same authoritative projection record according to their existing scopes.</w:t>
      </w:r>
    </w:p>
    <w:p>
      <w:pPr>
        <w:pStyle w:val="Heading1"/>
      </w:pPr>
      <w:r>
        <w:t>3. Current Stack and Invocation</w:t>
      </w:r>
    </w:p>
    <w:p>
      <w:pPr>
        <w:jc w:val="center"/>
      </w:pPr>
      <w:r>
        <w:rPr>
          <w:b/>
        </w:rPr>
        <w:t>PPP -&gt; Phi -&gt; H -&gt; G -&gt; R -&gt; Graph/Seed -&gt; Pi -&gt; Pi Completeness -&gt; Constraints -&gt; Domain Framing -&gt; Adequacy -&gt; Sigma -&gt; epsilon</w:t>
      </w:r>
    </w:p>
    <w:p>
      <w:r>
        <w:t>In the ordinary path, projection is invoked for the authoritative feasible candidate set after Constraints and applicable Domain Framing and before Adequacy. Adequacy consumes the projection record to test recovery corridors. Sigma consumes the same projected collapse-horizon consequences. Other candidate subsets may be projected only when a controlling fallback rule explicitly licenses them.</w:t>
      </w:r>
    </w:p>
    <w:p>
      <w:pPr>
        <w:pStyle w:val="Heading1"/>
      </w:pPr>
      <w:r>
        <w:t>4. Information Boundary</w:t>
      </w:r>
    </w:p>
    <w:p>
      <w:r>
        <w:t>Projection uses only information represented and available to Layer 2 at decision time t. The projection-relevant state bundle S_I^proj(t) may include perceived productive-power state, represented context, expectation and confidence state, memory-derived predictive information, active commitments and encumbrances, environmental or institutional estimates, and other represented causal state explicitly licensed by the current architecture. The supplied policy, read-only current graph/reachability structure, finite licensed projection horizon, and fixed predictive-model parameters complete the core call.</w:t>
      </w:r>
    </w:p>
    <w:p>
      <w:r>
        <w:t>Projected closure and projected transition are expectations, not objective future facts. They may be accurate, incomplete, or wrong. Realized future outcomes, objective external state unknown to the entity, and hindsight are prohibited. Pressure, memory, confidence, regime, or commitment information may affect projection only through represented causal/predictive structure; none may become a hidden caring-weight, utility term, or selector.</w:t>
      </w:r>
    </w:p>
    <w:p>
      <w:pPr>
        <w:pStyle w:val="Heading1"/>
      </w:pPr>
      <w:r>
        <w:t>5. Formal Core Contract</w:t>
      </w:r>
    </w:p>
    <w:p>
      <w:pPr>
        <w:jc w:val="center"/>
      </w:pPr>
      <w:r>
        <w:rPr>
          <w:b/>
        </w:rPr>
        <w:t>Q_t(pi) = P(S_I^proj(t), pi, L_P(t), G_I^graph(t); Theta_P)</w:t>
      </w:r>
    </w:p>
    <w:p>
      <w:r>
        <w:t>S_I^proj(t) is the projection-relevant represented-state bundle available at decision time t. It includes PPP_I(t) and represented context, and may also include expectations, confidence, memory-derived predictive information, active commitments, environmental estimates, accessible PP/SPV information, or other represented state that a current supporting specification licenses as causally relevant to projection. S_I^proj(t) is not a utility vector and does not authorize preference aggregation. G_I^graph(t) denotes the authoritative read-only current graph/reachability structure. Theta_P denotes fixed predictive-model parameters available at t. L_P(t) is the finite licensed projection horizon supplied to the service. This specification does not define the numerical derivation of L_P(t).</w:t>
      </w:r>
    </w:p>
    <w:p>
      <w:pPr>
        <w:pStyle w:val="Heading1"/>
      </w:pPr>
      <w:r>
        <w:t>6. Required Projection Record Q_t(pi)</w:t>
      </w:r>
    </w:p>
    <w:tbl>
      <w:tblPr>
        <w:tblStyle w:val="TableGrid"/>
        <w:tblW w:type="auto" w:w="0"/>
        <w:jc w:val="center"/>
        <w:tblLook w:firstColumn="1" w:firstRow="1" w:lastColumn="0" w:lastRow="0" w:noHBand="0" w:noVBand="1" w:val="04A0"/>
      </w:tblPr>
      <w:tblGrid>
        <w:gridCol w:w="5040"/>
        <w:gridCol w:w="5040"/>
      </w:tblGrid>
      <w:tr>
        <w:tc>
          <w:tcPr>
            <w:tcW w:type="dxa" w:w="5040"/>
          </w:tcPr>
          <w:p>
            <w:r>
              <w:t>Field</w:t>
            </w:r>
          </w:p>
        </w:tc>
        <w:tc>
          <w:tcPr>
            <w:tcW w:type="dxa" w:w="5040"/>
          </w:tcPr>
          <w:p>
            <w:r>
              <w:t>Meaning</w:t>
            </w:r>
          </w:p>
        </w:tc>
      </w:tr>
      <w:tr>
        <w:tc>
          <w:tcPr>
            <w:tcW w:type="dxa" w:w="5040"/>
          </w:tcPr>
          <w:p>
            <w:r>
              <w:t>policy_id</w:t>
            </w:r>
          </w:p>
        </w:tc>
        <w:tc>
          <w:tcPr>
            <w:tcW w:type="dxa" w:w="5040"/>
          </w:tcPr>
          <w:p>
            <w:r>
              <w:t>Stable identity of the supplied candidate policy.</w:t>
            </w:r>
          </w:p>
        </w:tc>
      </w:tr>
      <w:tr>
        <w:tc>
          <w:tcPr>
            <w:tcW w:type="dxa" w:w="5040"/>
          </w:tcPr>
          <w:p>
            <w:r>
              <w:t>state_id / state_time</w:t>
            </w:r>
          </w:p>
        </w:tc>
        <w:tc>
          <w:tcPr>
            <w:tcW w:type="dxa" w:w="5040"/>
          </w:tcPr>
          <w:p>
            <w:r>
              <w:t>Identity/version of the perceived decision state used for projection.</w:t>
            </w:r>
          </w:p>
        </w:tc>
      </w:tr>
      <w:tr>
        <w:tc>
          <w:tcPr>
            <w:tcW w:type="dxa" w:w="5040"/>
          </w:tcPr>
          <w:p>
            <w:r>
              <w:t>candidate_mode</w:t>
            </w:r>
          </w:p>
        </w:tc>
        <w:tc>
          <w:tcPr>
            <w:tcW w:type="dxa" w:w="5040"/>
          </w:tcPr>
          <w:p>
            <w:r>
              <w:t>Canonical downstream mode or candidate set under which projection was requested.</w:t>
            </w:r>
          </w:p>
        </w:tc>
      </w:tr>
      <w:tr>
        <w:tc>
          <w:tcPr>
            <w:tcW w:type="dxa" w:w="5040"/>
          </w:tcPr>
          <w:p>
            <w:r>
              <w:t>projection_horizon L_P(t)</w:t>
            </w:r>
          </w:p>
        </w:tc>
        <w:tc>
          <w:tcPr>
            <w:tcW w:type="dxa" w:w="5040"/>
          </w:tcPr>
          <w:p>
            <w:r>
              <w:t>Finite modeled future interval supplied by architecture/governance.</w:t>
            </w:r>
          </w:p>
        </w:tc>
      </w:tr>
      <w:tr>
        <w:tc>
          <w:tcPr>
            <w:tcW w:type="dxa" w:w="5040"/>
          </w:tcPr>
          <w:p>
            <w:r>
              <w:t>projected domain trajectories</w:t>
            </w:r>
          </w:p>
        </w:tc>
        <w:tc>
          <w:tcPr>
            <w:tcW w:type="dxa" w:w="5040"/>
          </w:tcPr>
          <w:p>
            <w:r>
              <w:t>Domain-local projected state paths over the modeled interval.</w:t>
            </w:r>
          </w:p>
        </w:tc>
      </w:tr>
      <w:tr>
        <w:tc>
          <w:tcPr>
            <w:tcW w:type="dxa" w:w="5040"/>
          </w:tcPr>
          <w:p>
            <w:r>
              <w:t>Reach_viable^pi(t+tau)</w:t>
            </w:r>
          </w:p>
        </w:tc>
        <w:tc>
          <w:tcPr>
            <w:tcW w:type="dxa" w:w="5040"/>
          </w:tcPr>
          <w:p>
            <w:r>
              <w:t>Projected viable future states, pathways, interactions, or recovery corridors remaining reachable along policy pi.</w:t>
            </w:r>
          </w:p>
        </w:tc>
      </w:tr>
      <w:tr>
        <w:tc>
          <w:tcPr>
            <w:tcW w:type="dxa" w:w="5040"/>
          </w:tcPr>
          <w:p>
            <w:r>
              <w:t>projected closure/reopening annotations</w:t>
            </w:r>
          </w:p>
        </w:tc>
        <w:tc>
          <w:tcPr>
            <w:tcW w:type="dxa" w:w="5040"/>
          </w:tcPr>
          <w:p>
            <w:r>
              <w:t>Traceable changes in projected reachability, including losses, replacements, substitutes, and reopenings where the model supports them.</w:t>
            </w:r>
          </w:p>
        </w:tc>
      </w:tr>
      <w:tr>
        <w:tc>
          <w:tcPr>
            <w:tcW w:type="dxa" w:w="5040"/>
          </w:tcPr>
          <w:p>
            <w:r>
              <w:t>T_k^ext(t | pi)</w:t>
            </w:r>
          </w:p>
        </w:tc>
        <w:tc>
          <w:tcPr>
            <w:tcW w:type="dxa" w:w="5040"/>
          </w:tcPr>
          <w:p>
            <w:r>
              <w:t>Authoritative policy-conditional projected collapse horizon for domain k, exact within the modeled window or explicitly right-censored.</w:t>
            </w:r>
          </w:p>
        </w:tc>
      </w:tr>
      <w:tr>
        <w:tc>
          <w:tcPr>
            <w:tcW w:type="dxa" w:w="5040"/>
          </w:tcPr>
          <w:p>
            <w:r>
              <w:t>information-quality / confidence trace</w:t>
            </w:r>
          </w:p>
        </w:tc>
        <w:tc>
          <w:tcPr>
            <w:tcW w:type="dxa" w:w="5040"/>
          </w:tcPr>
          <w:p>
            <w:r>
              <w:t>Where available in the current architecture, the basis and confidence attached to projected closure or reachability claims.</w:t>
            </w:r>
          </w:p>
        </w:tc>
      </w:tr>
      <w:tr>
        <w:tc>
          <w:tcPr>
            <w:tcW w:type="dxa" w:w="5040"/>
          </w:tcPr>
          <w:p>
            <w:r>
              <w:t>model_version</w:t>
            </w:r>
          </w:p>
        </w:tc>
        <w:tc>
          <w:tcPr>
            <w:tcW w:type="dxa" w:w="5040"/>
          </w:tcPr>
          <w:p>
            <w:r>
              <w:t>Predictive-model/version identity sufficient for reproduction and audit.</w:t>
            </w:r>
          </w:p>
        </w:tc>
      </w:tr>
      <w:tr>
        <w:tc>
          <w:tcPr>
            <w:tcW w:type="dxa" w:w="5040"/>
          </w:tcPr>
          <w:p>
            <w:r>
              <w:t>projection_input_trace</w:t>
            </w:r>
          </w:p>
        </w:tc>
        <w:tc>
          <w:tcPr>
            <w:tcW w:type="dxa" w:w="5040"/>
          </w:tcPr>
          <w:p>
            <w:r>
              <w:t>Trace/version of S_I^proj(t), including the represented expectation/confidence/commitment/environmental inputs actually used by the projection model.</w:t>
            </w:r>
          </w:p>
        </w:tc>
      </w:tr>
    </w:tbl>
    <w:p>
      <w:pPr>
        <w:pStyle w:val="Heading1"/>
      </w:pPr>
      <w:r>
        <w:t>7. Projected Trajectory Semantics</w:t>
      </w:r>
    </w:p>
    <w:p>
      <w:r>
        <w:t>A policy is trajectory-bearing. Projection represents intermediate consequences where relevant, including implementation or movement cost, resource use/acquisition, delay, hazard exposure, degradation, represented environmental effects, coordination effects, commitment effects, institutional conditions, and other domain-specific consequences licensed by the predictive model.</w:t>
      </w:r>
    </w:p>
    <w:p>
      <w:r>
        <w:t>No universal one-step or linear transition equation is imposed. Domain-sensitive predictive dynamics are permitted if they obey the common information boundary, preserve non-scalar domain structure, and return the common projection record.</w:t>
      </w:r>
    </w:p>
    <w:p>
      <w:pPr>
        <w:pStyle w:val="Heading1"/>
      </w:pPr>
      <w:r>
        <w:t>8. Projected Opportunity Closure and Reopening</w:t>
      </w:r>
    </w:p>
    <w:p>
      <w:r>
        <w:t>Projected opportunity closure is represented as a policy-conditioned reduction in reachable viable future paths under the modeled delay or trajectory. For fixed modeled conditions other than the passage of time and associated state change, closure has the set form:</w:t>
      </w:r>
    </w:p>
    <w:p>
      <w:pPr>
        <w:jc w:val="center"/>
      </w:pPr>
      <w:r>
        <w:rPr>
          <w:b/>
        </w:rPr>
        <w:t>Reach_viable(t + Delta | pi, conditions) subset Reach_viable(t | pi, conditions).</w:t>
      </w:r>
    </w:p>
    <w:p>
      <w:r>
        <w:t>This relation is conditional, not universal. A different policy, new counterparty, technological change, restored PP, additional SPV, institutional revision, or other modeled state change may reopen or replace an earlier route. The projection record must therefore preserve closure, replacement, and reopening rather than assuming that all opportunity sets only shrink through time.</w:t>
      </w:r>
    </w:p>
    <w:p>
      <w:r>
        <w:t>Closure is structural. It may arise from state degradation, opportunity-window expiration, coordination failure, forecasted future constraint tightening, path dependence, irreversibility, or other licensed reachability changes. A forecast that a constraint will tighten later is a projected consequence and may alter future reachable paths; it does not alter the present-time Pi_valid(t) already determined by the current Constraints operator. Closure must not be represented as an additive penalty, scalar cost, reward shaping term, or cross-domain tradeoff score.</w:t>
      </w:r>
    </w:p>
    <w:p>
      <w:pPr>
        <w:pStyle w:val="Heading1"/>
      </w:pPr>
      <w:r>
        <w:t>9. Domain and Cross-Domain Structure</w:t>
      </w:r>
    </w:p>
    <w:p>
      <w:r>
        <w:t>Projected closure and reachability changes should be represented in the domains and pathways actually affected. Cross-domain causal dependence is permitted where the current architecture supports it, but domains must not be aggregated into a scalar tradeoff. For example, deterioration in one domain may remove access to a pathway supporting another domain; the causal sequence remains explicit in the projection record.</w:t>
      </w:r>
    </w:p>
    <w:p>
      <w:pPr>
        <w:pStyle w:val="Heading1"/>
      </w:pPr>
      <w:r>
        <w:t>10. Policy-Conditional Projected Collapse Horizon</w:t>
      </w:r>
    </w:p>
    <w:p>
      <w:r>
        <w:t>For domain k, T_k^ext(t | pi) is the policy-conditional projected time to viability-boundary failure under the projected transition/reachability structure. Where the domain state is represented by p-hat_k(t+h | pi) with viability boundary theta_k:</w:t>
      </w:r>
    </w:p>
    <w:p>
      <w:pPr>
        <w:jc w:val="center"/>
      </w:pPr>
      <w:r>
        <w:rPr>
          <w:b/>
        </w:rPr>
        <w:t>T_k^ext(t | pi) = inf { h &gt; 0 : p-hat_k(t+h | pi) &lt;= theta_k }.</w:t>
      </w:r>
    </w:p>
    <w:p>
      <w:r>
        <w:t>Opportunity closure affects T_k^ext through its effect on projected transition structure, feasible continuation, and the projected trajectory itself. No separate T_k^closure term is required by the current active closure specification.</w:t>
      </w:r>
    </w:p>
    <w:p>
      <w:r>
        <w:t>H's baseline reserve-margin / expected-deterioration formula is not automatically extended to candidate policies. H remains baseline-only. A particular projection implementation may use an analytically equivalent closed form only when its predictive dynamics justify that equivalence.</w:t>
      </w:r>
    </w:p>
    <w:p>
      <w:pPr>
        <w:pStyle w:val="Heading1"/>
      </w:pPr>
      <w:r>
        <w:t>11. Right-Censoring Semantics</w:t>
      </w:r>
    </w:p>
    <w:p>
      <w:r>
        <w:t>Projection is bounded by L_P(t). If no modeled viability-boundary failure occurs for domain k within that interval, the service must not fabricate an exact horizon beyond the modeled window. It records the result as right-censored:</w:t>
      </w:r>
    </w:p>
    <w:p>
      <w:pPr>
        <w:jc w:val="center"/>
      </w:pPr>
      <w:r>
        <w:rPr>
          <w:b/>
        </w:rPr>
        <w:t>T_k^ext(t | pi) &gt; L_P(t)  [right-censored at L_P(t)].</w:t>
      </w:r>
    </w:p>
    <w:p>
      <w:r>
        <w:t>Two policies censored at the same projection horizon are not ordered on that domain by unsupported extrapolation. A policy whose collapse occurs inside the window is distinguishable from one that remains viable through the full window. The censoring flag is part of the authoritative projection record.</w:t>
      </w:r>
    </w:p>
    <w:p>
      <w:pPr>
        <w:pStyle w:val="Heading1"/>
      </w:pPr>
      <w:r>
        <w:t>12. Projected Versus Realized Closure</w:t>
      </w:r>
    </w:p>
    <w:p>
      <w:r>
        <w:t>Projected closure belongs to Layer 2 projection and reflects what the entity currently expects may become unreachable. Realized closure occurs only when time passes or events actually make an opportunity unavailable, infeasible, inaccessible, or nonrecoverable.</w:t>
      </w:r>
    </w:p>
    <w:p>
      <w:r>
        <w:t>Realized closure updates the actual environment, institutional or interaction state, commitments, accessible PP/SPV, and graph structure for the next decision cycle. Projection does not rewrite the current graph as if a predicted future closure had already happened.</w:t>
      </w:r>
    </w:p>
    <w:p>
      <w:pPr>
        <w:pStyle w:val="Heading1"/>
      </w:pPr>
      <w:r>
        <w:t>13. Graph Boundary</w:t>
      </w:r>
    </w:p>
    <w:p>
      <w:r>
        <w:t>The Graph Layer owns current structural reachability and supplies the graph/seed substrate used by Pi. Projection reads that current structure and models how following pi may change future reachability. Predicted future path loss or reopening is recorded inside Q_t(pi); realized path loss or reopening changes the graph only through the later state/update cycle.</w:t>
      </w:r>
    </w:p>
    <w:p>
      <w:pPr>
        <w:pStyle w:val="Heading1"/>
      </w:pPr>
      <w:r>
        <w:t>14. Projection Horizon L_P(t)</w:t>
      </w:r>
    </w:p>
    <w:p>
      <w:r>
        <w:t>A finite licensed projection horizon is required by Layer 2 bounded-computation discipline. L_P(t) is therefore a required externally supplied architecture parameter recorded in every projection trace. Its numerical derivation is outside this service specification.</w:t>
      </w:r>
    </w:p>
    <w:p>
      <w:r>
        <w:t>Current active supporting material permits projection depth to depend on governing conditions, but no current canonical operator file supplied for this integration defines a complete R-to-L_P mapping. A later authority may supply or condition L_P(t) without changing this service's ownership boundary.</w:t>
      </w:r>
    </w:p>
    <w:p>
      <w:pPr>
        <w:pStyle w:val="Heading1"/>
      </w:pPr>
      <w:r>
        <w:t>15. Candidate-Set Discipline</w:t>
      </w:r>
    </w:p>
    <w:p>
      <w:r>
        <w:t>Projection never decides which policies are eligible for evaluation. The caller supplies an explicitly licensed candidate subset.</w:t>
      </w:r>
    </w:p>
    <w:p>
      <w:pPr>
        <w:pStyle w:val="ListBullet"/>
      </w:pPr>
      <w:r>
        <w:t>Ordinary/Adequacy path: project the authoritative feasible candidates surviving Constraints and applicable framing.</w:t>
      </w:r>
    </w:p>
    <w:p>
      <w:pPr>
        <w:pStyle w:val="ListBullet"/>
      </w:pPr>
      <w:r>
        <w:t>Recovery-unavailable fallback: project Pi_valid(t) where the controlling fallback rule compares policy-conditioned projected horizons over that set.</w:t>
      </w:r>
    </w:p>
    <w:p>
      <w:pPr>
        <w:pStyle w:val="ListBullet"/>
      </w:pPr>
      <w:r>
        <w:t>Terminal infeasibility: do not project Pi_I(t) unless the controlling terminal rule explicitly requires projected consequences; current terminal comparison may rely on structured violation information instead.</w:t>
      </w:r>
    </w:p>
    <w:p>
      <w:pPr>
        <w:pStyle w:val="ListBullet"/>
      </w:pPr>
      <w:r>
        <w:t>The same policy/state/context/graph/model/horizon tuple yields the same projection record regardless of which authorized consumer requested it.</w:t>
      </w:r>
    </w:p>
    <w:p>
      <w:pPr>
        <w:pStyle w:val="Heading1"/>
      </w:pPr>
      <w:r>
        <w:t>16. Projection Consistency Invariant</w:t>
      </w:r>
    </w:p>
    <w:p>
      <w:r>
        <w:t>For a fixed state identity, policy identity, represented context, graph/reachability version, predictive-model version, and projection horizon, there is one authoritative projection record. Adequacy, Sigma, fallback logic, and proof-control extraction must consume that record or a certified-identical representation. No consumer may silently clip, normalize, transform, extrapolate, or recompute projected trajectories, reachability results, or T^ext.</w:t>
      </w:r>
    </w:p>
    <w:p>
      <w:pPr>
        <w:pStyle w:val="Heading1"/>
      </w:pPr>
      <w:r>
        <w:t>17. Relationship to H</w:t>
      </w:r>
    </w:p>
    <w:p>
      <w:r>
        <w:t>H owns baseline collapse horizons under continuation conditions and remains baseline-only. The projection service owns policy-conditioned projected trajectories, projected future reachability, and policy-conditioned T_k^ext. H may provide baseline context but does not evaluate candidate policies.</w:t>
      </w:r>
    </w:p>
    <w:p>
      <w:pPr>
        <w:pStyle w:val="Heading1"/>
      </w:pPr>
      <w:r>
        <w:t>18. Relationship to Pi, Completeness, Constraints, and Domain Framing</w:t>
      </w:r>
    </w:p>
    <w:p>
      <w:r>
        <w:t>Pi constructs bounded graph-supported candidate policies; Pi completeness validates candidate-class sufficiency; Constraints determines present-time executability; Domain Framing fixes the preservation target. Projection performs none of these functions. It evaluates only the candidate set supplied after the applicable upstream authority has acted. Projection may forecast later constraint tightening or access loss along a policy path, but that forecast remains a projected consequence used by Adequacy/reachability analysis rather than a retroactive change to the current Constraints output.</w:t>
      </w:r>
    </w:p>
    <w:p>
      <w:pPr>
        <w:pStyle w:val="Heading1"/>
      </w:pPr>
      <w:r>
        <w:t>19. Relationship to Adequacy</w:t>
      </w:r>
    </w:p>
    <w:p>
      <w:r>
        <w:t>Adequacy evaluates recovery corridors. It consumes projected domain trajectories, policy-conditioned reachable-state/recovery-corridor structure, and T_k^ext from Q_t(pi), together with its existing inputs Pi_valid(t), G_I(t), PPP_I(t), and F_I(t). Projection supplies projected facts; Adequacy retains sole authority to classify a policy adequate or inadequate.</w:t>
      </w:r>
    </w:p>
    <w:p>
      <w:pPr>
        <w:pStyle w:val="Heading1"/>
      </w:pPr>
      <w:r>
        <w:t>20. Relationship to Sigma</w:t>
      </w:r>
    </w:p>
    <w:p>
      <w:r>
        <w:t>Sigma consumes the authoritative T_k^ext(t | pi) values from Q_t(pi). Projection performs no Pareto filtering, global dominance refinement, scalar aggregation, ranking, or tie resolution. Where T^ext is right-censored, Sigma must preserve the information boundary rather than infer an unsupported ordering beyond L_P(t).</w:t>
      </w:r>
    </w:p>
    <w:p>
      <w:pPr>
        <w:pStyle w:val="Heading1"/>
      </w:pPr>
      <w:r>
        <w:t>21. Relationship to epsilon and State Update</w:t>
      </w:r>
    </w:p>
    <w:p>
      <w:r>
        <w:t>epsilon realizes the selected policy and does not recompute projection. Actual execution may differ from projection. Realized outcomes, including realized closure or reopening, feed the later state/update surfaces and may alter the next cycle's PPP, graph, constraints, commitments, or available resources.</w:t>
      </w:r>
    </w:p>
    <w:p>
      <w:pPr>
        <w:pStyle w:val="Heading1"/>
      </w:pPr>
      <w:r>
        <w:t>22. Structural Properties</w:t>
      </w:r>
    </w:p>
    <w:p>
      <w:pPr>
        <w:pStyle w:val="ListBullet"/>
      </w:pPr>
      <w:r>
        <w:t>Shared architecture service with no sovereign decision authority.</w:t>
      </w:r>
    </w:p>
    <w:p>
      <w:pPr>
        <w:pStyle w:val="ListBullet"/>
      </w:pPr>
      <w:r>
        <w:t>Deterministic for identical authoritative inputs and model version.</w:t>
      </w:r>
    </w:p>
    <w:p>
      <w:pPr>
        <w:pStyle w:val="ListBullet"/>
      </w:pPr>
      <w:r>
        <w:t>Stateless with respect to ontological state.</w:t>
      </w:r>
    </w:p>
    <w:p>
      <w:pPr>
        <w:pStyle w:val="ListBullet"/>
      </w:pPr>
      <w:r>
        <w:t>Finite in candidate coverage and projection horizon.</w:t>
      </w:r>
    </w:p>
    <w:p>
      <w:pPr>
        <w:pStyle w:val="ListBullet"/>
      </w:pPr>
      <w:r>
        <w:t>Domain-structured and non-aggregating.</w:t>
      </w:r>
    </w:p>
    <w:p>
      <w:pPr>
        <w:pStyle w:val="ListBullet"/>
      </w:pPr>
      <w:r>
        <w:t>Supports cross-domain causal dependence without scalar tradeoff aggregation.</w:t>
      </w:r>
    </w:p>
    <w:p>
      <w:pPr>
        <w:pStyle w:val="ListBullet"/>
      </w:pPr>
      <w:r>
        <w:t>Distinguishes projected closure from realized closure.</w:t>
      </w:r>
    </w:p>
    <w:p>
      <w:pPr>
        <w:pStyle w:val="ListBullet"/>
      </w:pPr>
      <w:r>
        <w:t>Allows closure, replacement, and reopening under modeled conditions.</w:t>
      </w:r>
    </w:p>
    <w:p>
      <w:pPr>
        <w:pStyle w:val="ListBullet"/>
      </w:pPr>
      <w:r>
        <w:t>Non-scalar and non-selective.</w:t>
      </w:r>
    </w:p>
    <w:p>
      <w:pPr>
        <w:pStyle w:val="ListBullet"/>
      </w:pPr>
      <w:r>
        <w:t>Traceable, versioned, and projection-consistent.</w:t>
      </w:r>
    </w:p>
    <w:p>
      <w:pPr>
        <w:pStyle w:val="ListBullet"/>
      </w:pPr>
      <w:r>
        <w:t>Explicit about right-censored horizons.</w:t>
      </w:r>
    </w:p>
    <w:p>
      <w:pPr>
        <w:pStyle w:val="Heading1"/>
      </w:pPr>
      <w:r>
        <w:t>23. Prohibited Functions</w:t>
      </w:r>
    </w:p>
    <w:p>
      <w:pPr>
        <w:pStyle w:val="ListBullet"/>
      </w:pPr>
      <w:r>
        <w:t>Candidate generation, graph repair, or candidate-set expansion.</w:t>
      </w:r>
    </w:p>
    <w:p>
      <w:pPr>
        <w:pStyle w:val="ListBullet"/>
      </w:pPr>
      <w:r>
        <w:t>Feasibility filtering or adequacy classification.</w:t>
      </w:r>
    </w:p>
    <w:p>
      <w:pPr>
        <w:pStyle w:val="ListBullet"/>
      </w:pPr>
      <w:r>
        <w:t>Governing-domain or regime classification.</w:t>
      </w:r>
    </w:p>
    <w:p>
      <w:pPr>
        <w:pStyle w:val="ListBullet"/>
      </w:pPr>
      <w:r>
        <w:t>Scalar utility/reward/welfare scoring.</w:t>
      </w:r>
    </w:p>
    <w:p>
      <w:pPr>
        <w:pStyle w:val="ListBullet"/>
      </w:pPr>
      <w:r>
        <w:t>Additive cost-of-delay penalties masquerading as closure.</w:t>
      </w:r>
    </w:p>
    <w:p>
      <w:pPr>
        <w:pStyle w:val="ListBullet"/>
      </w:pPr>
      <w:r>
        <w:t>Cross-domain aggregation or tradeoff encoding.</w:t>
      </w:r>
    </w:p>
    <w:p>
      <w:pPr>
        <w:pStyle w:val="ListBullet"/>
      </w:pPr>
      <w:r>
        <w:t>Pareto filtering, ranking, selection, or tie-breaking.</w:t>
      </w:r>
    </w:p>
    <w:p>
      <w:pPr>
        <w:pStyle w:val="ListBullet"/>
      </w:pPr>
      <w:r>
        <w:t>Replacing right-censored horizons with arbitrary exact values or unsupported extrapolations.</w:t>
      </w:r>
    </w:p>
    <w:p>
      <w:pPr>
        <w:pStyle w:val="ListBullet"/>
      </w:pPr>
      <w:r>
        <w:t>Treating projected closure as already-realized graph state.</w:t>
      </w:r>
    </w:p>
    <w:p>
      <w:pPr>
        <w:pStyle w:val="ListBullet"/>
      </w:pPr>
      <w:r>
        <w:t>Layer 1 state mutation or execution.</w:t>
      </w:r>
    </w:p>
    <w:p>
      <w:pPr>
        <w:pStyle w:val="ListBullet"/>
      </w:pPr>
      <w:r>
        <w:t>Use of unavailable objective future information.</w:t>
      </w:r>
    </w:p>
    <w:p>
      <w:pPr>
        <w:pStyle w:val="Heading1"/>
      </w:pPr>
      <w:r>
        <w:t>24. Canonical Patch Plan After Approval</w:t>
      </w:r>
    </w:p>
    <w:tbl>
      <w:tblPr>
        <w:tblStyle w:val="TableGrid"/>
        <w:tblW w:type="auto" w:w="0"/>
        <w:jc w:val="center"/>
        <w:tblLook w:firstColumn="1" w:firstRow="1" w:lastColumn="0" w:lastRow="0" w:noHBand="0" w:noVBand="1" w:val="04A0"/>
      </w:tblPr>
      <w:tblGrid>
        <w:gridCol w:w="5040"/>
        <w:gridCol w:w="5040"/>
      </w:tblGrid>
      <w:tr>
        <w:tc>
          <w:tcPr>
            <w:tcW w:type="dxa" w:w="5040"/>
          </w:tcPr>
          <w:p>
            <w:r>
              <w:t>Artifact</w:t>
            </w:r>
          </w:p>
        </w:tc>
        <w:tc>
          <w:tcPr>
            <w:tcW w:type="dxa" w:w="5040"/>
          </w:tcPr>
          <w:p>
            <w:r>
              <w:t>Narrow patch after service approval</w:t>
            </w:r>
          </w:p>
        </w:tc>
      </w:tr>
      <w:tr>
        <w:tc>
          <w:tcPr>
            <w:tcW w:type="dxa" w:w="5040"/>
          </w:tcPr>
          <w:p>
            <w:r>
              <w:t>H v1.3</w:t>
            </w:r>
          </w:p>
        </w:tc>
        <w:tc>
          <w:tcPr>
            <w:tcW w:type="dxa" w:w="5040"/>
          </w:tcPr>
          <w:p>
            <w:r>
              <w:t>Replace generic shared-projection reference with this service; no baseline formula change.</w:t>
            </w:r>
          </w:p>
        </w:tc>
      </w:tr>
      <w:tr>
        <w:tc>
          <w:tcPr>
            <w:tcW w:type="dxa" w:w="5040"/>
          </w:tcPr>
          <w:p>
            <w:r>
              <w:t>Adequacy v0.4</w:t>
            </w:r>
          </w:p>
        </w:tc>
        <w:tc>
          <w:tcPr>
            <w:tcW w:type="dxa" w:w="5040"/>
          </w:tcPr>
          <w:p>
            <w:r>
              <w:t>Make Q_t(pi), projected trajectories, projected reachable-state/recovery-corridor structure, and T^ext explicit consumed dependencies.</w:t>
            </w:r>
          </w:p>
        </w:tc>
      </w:tr>
      <w:tr>
        <w:tc>
          <w:tcPr>
            <w:tcW w:type="dxa" w:w="5040"/>
          </w:tcPr>
          <w:p>
            <w:r>
              <w:t>Sigma v1.11</w:t>
            </w:r>
          </w:p>
        </w:tc>
        <w:tc>
          <w:tcPr>
            <w:tcW w:type="dxa" w:w="5040"/>
          </w:tcPr>
          <w:p>
            <w:r>
              <w:t>Replace generic shared-projection wording with this service and add common right-censoring comparison semantics; no change to the basic Pareto structure.</w:t>
            </w:r>
          </w:p>
        </w:tc>
      </w:tr>
      <w:tr>
        <w:tc>
          <w:tcPr>
            <w:tcW w:type="dxa" w:w="5040"/>
          </w:tcPr>
          <w:p>
            <w:r>
              <w:t>Layer 2 stack / interaction architecture</w:t>
            </w:r>
          </w:p>
        </w:tc>
        <w:tc>
          <w:tcPr>
            <w:tcW w:type="dxa" w:w="5040"/>
          </w:tcPr>
          <w:p>
            <w:r>
              <w:t>List projection as a shared architecture service invoked during candidate evaluation without inserting a new sovereign operator.</w:t>
            </w:r>
          </w:p>
        </w:tc>
      </w:tr>
      <w:tr>
        <w:tc>
          <w:tcPr>
            <w:tcW w:type="dxa" w:w="5040"/>
          </w:tcPr>
          <w:p>
            <w:r>
              <w:t>Opportunity Closure active supporting specification</w:t>
            </w:r>
          </w:p>
        </w:tc>
        <w:tc>
          <w:tcPr>
            <w:tcW w:type="dxa" w:w="5040"/>
          </w:tcPr>
          <w:p>
            <w:r>
              <w:t>Cross-reference this service as the policy-conditioned projection owner; preserve the active projected-versus-realized closure distinction.</w:t>
            </w:r>
          </w:p>
        </w:tc>
      </w:tr>
      <w:tr>
        <w:tc>
          <w:tcPr>
            <w:tcW w:type="dxa" w:w="5040"/>
          </w:tcPr>
          <w:p>
            <w:r>
              <w:t>Graph Layer supporting specification</w:t>
            </w:r>
          </w:p>
        </w:tc>
        <w:tc>
          <w:tcPr>
            <w:tcW w:type="dxa" w:w="5040"/>
          </w:tcPr>
          <w:p>
            <w:r>
              <w:t>Add a boundary cross-reference: Graph owns current reachability; projection models policy-conditioned future reachability; realized change updates later graph state.</w:t>
            </w:r>
          </w:p>
        </w:tc>
      </w:tr>
      <w:tr>
        <w:tc>
          <w:tcPr>
            <w:tcW w:type="dxa" w:w="5040"/>
          </w:tcPr>
          <w:p>
            <w:r>
              <w:t>Scalar proof-control notes</w:t>
            </w:r>
          </w:p>
        </w:tc>
        <w:tc>
          <w:tcPr>
            <w:tcW w:type="dxa" w:w="5040"/>
          </w:tcPr>
          <w:p>
            <w:r>
              <w:t>Update the source-of-truth citation for T^ext and preserve right-censoring semantics in theorem-facing extraction.</w:t>
            </w:r>
          </w:p>
        </w:tc>
      </w:tr>
    </w:tbl>
    <w:p>
      <w:pPr>
        <w:pStyle w:val="Heading1"/>
      </w:pPr>
      <w:r>
        <w:t>25. Promotion and Integration Disposition</w:t>
      </w:r>
    </w:p>
    <w:p>
      <w:pPr>
        <w:pStyle w:val="ListBullet"/>
      </w:pPr>
      <w:r>
        <w:t>Promotion review completed against the current source set. The service is approved as canonical architecture-supporting infrastructure.</w:t>
      </w:r>
    </w:p>
    <w:p>
      <w:pPr>
        <w:pStyle w:val="ListBullet"/>
      </w:pPr>
      <w:r>
        <w:t>Dependent integration requirement: Sigma must use the formal censor-aware horizon comparison relation for all Stage-1 and Stage-2 dominance tests. This requirement is satisfied by Sigma v1.13 or later.</w:t>
      </w:r>
    </w:p>
    <w:p>
      <w:pPr>
        <w:pStyle w:val="ListBullet"/>
      </w:pPr>
      <w:r>
        <w:t>L_P(t) remains an externally supplied finite architecture parameter until a separate canonical derivation rule is established. This deferral does not alter Projection ownership or downstream comparison discipline.</w:t>
      </w:r>
    </w:p>
    <w:p>
      <w:pPr/>
      <w:r/>
    </w:p>
    <w:p>
      <w:pPr>
        <w:pStyle w:val="Heading1"/>
      </w:pPr>
      <w:r>
        <w:t>26. Summary</w:t>
      </w:r>
    </w:p>
    <w:p>
      <w:r>
        <w:t>The Shared Policy-Conditional Projection Service fills the missing Layer 2 contract without adding a new decision authority. It projects explicitly supplied policies into domain-local future trajectories and future reachable structure; incorporates projected opportunity closure, replacement, and reopening as reachability changes rather than scalar penalties; derives the policy-conditioned projected collapse horizons consumed by Sigma; preserves finite-horizon uncertainty through explicit right-censoring; and supplies one immutable projection record to Adequacy, Sigma, fallback logic, and proof-control extraction. Projection supplies projected facts. Adequacy owns recovery-corridor classification. Sigma owns selection. epsilon owns realization.</w:t>
      </w:r>
    </w:p>
    <w:p>
      <w:pPr>
        <w:pStyle w:val="Heading1"/>
      </w:pPr>
      <w:r>
        <w:t>Appendix A — Authority and Supersession Notes</w:t>
      </w:r>
    </w:p>
    <w:p>
      <w:r>
        <w:t>Current closure authority: PV-PP Opportunity Closure, Reachability, and Delay - Active Architecture-Supporting Specification v0.1 (June 2026), which explicitly supersedes Opportunity Closure Function Specification v1.1 and v1.0 for current use. The archived v1.1 function specification is not used as controlling authority in v1.0. The active Policy Construction, Active Policy State, and Execution Dynamics supporting specification is also used for the represented expectation/commitment and projection-depth interfaces, subject to the more specific current canonical operator boundaries. Canonical boundary authorities used for reconciliation include H v1.3, Restoration Adequacy v0.4, Sigma v1.11, the Graph Layer supporting specification v0.2, and the current interaction/stack architecture files supplied for this integration.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