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PV-PP Decision Framework</w:t>
      </w:r>
    </w:p>
    <w:p>
      <w:pPr>
        <w:jc w:val="center"/>
      </w:pPr>
      <w:r>
        <w:rPr>
          <w:b/>
          <w:sz w:val="36"/>
        </w:rPr>
        <w:t>Typed Relational Memory Operator Interface Addendum</w:t>
      </w:r>
    </w:p>
    <w:p>
      <w:pPr>
        <w:jc w:val="center"/>
      </w:pPr>
      <w:r>
        <w:rPr>
          <w:i/>
          <w:sz w:val="22"/>
        </w:rPr>
        <w:t>Operators Supporting Specification v0.1</w:t>
      </w:r>
    </w:p>
    <w:p>
      <w:r>
        <w:t>Recommended repository placement: 15 Operators / Operators Supporting /</w:t>
      </w:r>
    </w:p>
    <w:p>
      <w:r>
        <w:t>Related memory anchor placement: 20 Stack and Layer Governance / Memory / Relational Memory / Typed Relational Memory /</w:t>
      </w:r>
    </w:p>
    <w:p>
      <w:r>
        <w:rPr>
          <w:b/>
        </w:rPr>
        <w:t xml:space="preserve">Status: provisional integration addendum. </w:t>
      </w:r>
      <w:r>
        <w:t>This file does not modify the canonical operator definitions. It identifies operator-interface pressure created by typed relational memory and cooperation propensity work, pending later migration into the operator files themselves.</w:t>
      </w:r>
    </w:p>
    <w:p>
      <w:pPr>
        <w:pStyle w:val="Heading1"/>
      </w:pPr>
      <w:r>
        <w:t>1. Purpose</w:t>
      </w:r>
    </w:p>
    <w:p>
      <w:r>
        <w:t>This addendum gives the operator stack a routing notice for the typed relational memory and cooperation propensity work. The memory branch is not a side module. It creates implementation-affecting upstream conditions on several operators, especially where cooperation history, defection history, guarded cooperation, partner-specific access, and reserve reconstruction alter the candidate field.</w:t>
      </w:r>
    </w:p>
    <w:p>
      <w:r>
        <w:t>The purpose is narrow: to warn implementers that operator behavior may depend on typed memory interfaces before the canonical operator documents are revised. This addendum should be read alongside the framework-class specification for relational memory and the current typed-memory simulation notes.</w:t>
      </w:r>
    </w:p>
    <w:p>
      <w:pPr>
        <w:pStyle w:val="Heading1"/>
      </w:pPr>
      <w:r>
        <w:t>2. Non-Revision of the Operator Stack</w:t>
      </w:r>
    </w:p>
    <w:p>
      <w:r>
        <w:t>The current Layer 2 operator order remains unchanged:</w:t>
      </w:r>
    </w:p>
    <w:p>
      <w:r>
        <w:rPr>
          <w:b/>
        </w:rPr>
        <w:t>PPP -&gt; Phi -&gt; H -&gt; G -&gt; R -&gt; Graph Layer / seed substrate -&gt; Pi -&gt; Pi completeness validation -&gt; Constraints -&gt; Domain Framing -&gt; Adequacy -&gt; Sigma -&gt; epsilon</w:t>
      </w:r>
    </w:p>
    <w:p>
      <w:r>
        <w:t>Typed relational memory is not inserted as a new hidden operator. It is a memory substrate and retrieval interface that can affect what each operator receives, constructs, excludes, guards, or records. If treated as a hidden selector, it would violate the no-downstream-repair discipline by allowing memory to launder or veto policies outside the proper operator stage.</w:t>
      </w:r>
    </w:p>
    <w:p>
      <w:pPr>
        <w:pStyle w:val="Heading1"/>
      </w:pPr>
      <w:r>
        <w:t>3. Core Interface Principle</w:t>
      </w:r>
    </w:p>
    <w:p>
      <w:r>
        <w:t>Memory may affect the operator stack only when its contribution is typed, scoped, and routed to the correct operator interface.</w:t>
      </w:r>
    </w:p>
    <w:p>
      <w:pPr>
        <w:pStyle w:val="ListBullet"/>
      </w:pPr>
      <w:r>
        <w:t>Memory may shape perceived state; it must not silently replace actual state.</w:t>
      </w:r>
    </w:p>
    <w:p>
      <w:pPr>
        <w:pStyle w:val="ListBullet"/>
      </w:pPr>
      <w:r>
        <w:t>Memory may surface known hazards, tools, paths, dependencies, failures, trust histories, and recovery corridors; it must not invent feasibility.</w:t>
      </w:r>
    </w:p>
    <w:p>
      <w:pPr>
        <w:pStyle w:val="ListBullet"/>
      </w:pPr>
      <w:r>
        <w:t>Memory may explain why a candidate should be included, guarded, constrained, or rejected; it must not let Sigma perform unlicensed rejection by intuition.</w:t>
      </w:r>
    </w:p>
    <w:p>
      <w:pPr>
        <w:pStyle w:val="ListBullet"/>
      </w:pPr>
      <w:r>
        <w:t>Memory may update after execution; it must not launder an invalid upstream path because execution happened to produce a one-time success.</w:t>
      </w:r>
    </w:p>
    <w:p>
      <w:pPr>
        <w:pStyle w:val="ListBullet"/>
      </w:pPr>
      <w:r>
        <w:t>Memory records should carry type, target, quality, freshness, distortion risk, and generalization scope when they are used in decision flow.</w:t>
      </w:r>
    </w:p>
    <w:p>
      <w:pPr>
        <w:pStyle w:val="Heading1"/>
      </w:pPr>
      <w:r>
        <w:t>4. Operator Interface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Operator area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Typed relational memory effect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Boundary rule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PPP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Shapes perceived practical power position: trust reserve, partner-specific cooperation access, remembered defections, reliable aid paths, guarded cooperation capacity, and reserve-rebuild status.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Memory-shaped PPP remains projection-sensitive. It is not objective Layer 1 state unless verified.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Phi / signal interpretation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Changes signal salience and reliability. A signal from kin, coworker, rival, tool provider, institution, or prior defector is not interpreted in a vacuum.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Phi consumes pressure implications; it does not itself select or reject policies.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Affects collapse-horizon estimates by changing expected depletion, volatility, recovery access, and path reliability.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 remains a horizon estimator, not a narrative memory score.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Can make trust reserve, tool condition, information capital, or recovery access governing when memory shows dependency or corridor risk.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Remembered salience alone is insufficient. Governing status must follow dependency and viability structure.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May shift regime classification when memory shows exhaustion, reserve debt, or failed recovery paths.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Regime classification cannot be used to bypass constraints or adequacy.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Graph Layer / seed substrate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Memory affects which cooperation routes are visible: unguarded cooperation, guarded cooperation, kin help, coworker tool repair, rival-with-contract, reserve rebuilding, and recovery entry.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Graph visibility is not permission. Visible candidates still pass through Pi, constraints, domain framing, adequacy, and Sigma.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Pi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Policy construction must distinguish relation-specific policies. “Cooperate” is not a single policy when typed memory is active.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Pi must preserve guardrail structure in the candidate description.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Constraints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Can impose relationship-specific constraints: contract required, no unguarded rival trade, no discretionary cooperation during reserve rebuilding, no generic recovery laundering.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Constraint failure cannot be repaired later by high expected payoff.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Domain Framing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Frames substitutions by corridor role: bounded rival cooperation is not equivalent to unguarded trust; reserve rebuilding is not equivalent to discretionary cooperation.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Substitution must preserve governing-domain viability.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Adequacy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Tests whether a route preserves recovery corridor conditions rather than merely producing short-term PV.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Adequacy must reject premature, unsafe, unguarded, or laundering routes even when local output looks positive.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Sigma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Selection must avoid scalar laundering. High local payoff cannot override known defection memory, reserve-floor violations, or missing guardrails.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Sigma selects among valid candidates; it does not create missing validity.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epsilon / execution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Execution must preserve the selected guardrail state. Rival cooperation with contract cannot be executed as ordinary rival cooperation.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Execution updates memory but does not retroactively validate an invalid upstream path.</w:t>
            </w:r>
          </w:p>
        </w:tc>
      </w:tr>
    </w:tbl>
    <w:p>
      <w:pPr>
        <w:pStyle w:val="Heading1"/>
      </w:pPr>
      <w:r>
        <w:t>5. Typed Memory Classes Relevant to Operators</w:t>
      </w:r>
    </w:p>
    <w:p>
      <w:pPr>
        <w:pStyle w:val="Heading2"/>
      </w:pPr>
      <w:r>
        <w:t>Reciprocity memory</w:t>
      </w:r>
    </w:p>
    <w:p>
      <w:r>
        <w:t>Records cooperation that successfully preserved or expanded a corridor. It can raise partner-specific cooperation propensity but should not erase unrelated defection memory.</w:t>
      </w:r>
    </w:p>
    <w:p>
      <w:pPr>
        <w:pStyle w:val="Heading2"/>
      </w:pPr>
      <w:r>
        <w:t>Defection memory</w:t>
      </w:r>
    </w:p>
    <w:p>
      <w:r>
        <w:t>Records nonperformance, betrayal, hidden cost, or reliability failure. It can lower unguarded access and trigger guardrail requirements.</w:t>
      </w:r>
    </w:p>
    <w:p>
      <w:pPr>
        <w:pStyle w:val="Heading2"/>
      </w:pPr>
      <w:r>
        <w:t>Recovery-path memory</w:t>
      </w:r>
    </w:p>
    <w:p>
      <w:r>
        <w:t>Records routes that restored or protected a governing corridor, such as reserve rebuild, kin support, coworker tool repair, or bounded rival contract.</w:t>
      </w:r>
    </w:p>
    <w:p>
      <w:pPr>
        <w:pStyle w:val="Heading2"/>
      </w:pPr>
      <w:r>
        <w:t>PP ledger memory</w:t>
      </w:r>
    </w:p>
    <w:p>
      <w:r>
        <w:t>Records domain-specific maintenance results such as safe water maintenance, tool repair, reserve restoration, or depletion control.</w:t>
      </w:r>
    </w:p>
    <w:p>
      <w:pPr>
        <w:pStyle w:val="Heading2"/>
      </w:pPr>
      <w:r>
        <w:t>Guardrail memory</w:t>
      </w:r>
    </w:p>
    <w:p>
      <w:r>
        <w:t>Records that cooperation was acceptable only because a boundary, contract, verification step, supervision channel, or other guardrail was present.</w:t>
      </w:r>
    </w:p>
    <w:p>
      <w:pPr>
        <w:pStyle w:val="Heading1"/>
      </w:pPr>
      <w:r>
        <w:t>6. Cooperation Propensity Interface</w:t>
      </w:r>
    </w:p>
    <w:p>
      <w:r>
        <w:t>Cooperation propensity should be treated as a relation-specific tendency to enter, sustain, or expand cooperation under bounded conditions. It is not a general niceness score and not a scalar override. It is an input to candidate visibility, guardedness, and relational feasibility.</w:t>
      </w:r>
    </w:p>
    <w:p>
      <w:r>
        <w:t>A mature implementation should distinguish at least four cooperation states: unguarded cooperation, guarded cooperation, refusal or avoidance, and reserve-rebuild priority. Typed memory determines which of these states is available for a specific relation at a specific time.</w:t>
      </w:r>
    </w:p>
    <w:p>
      <w:pPr>
        <w:pStyle w:val="Heading1"/>
      </w:pPr>
      <w:r>
        <w:t>7. Required Implementation Discipline</w:t>
      </w:r>
    </w:p>
    <w:p>
      <w:pPr>
        <w:pStyle w:val="ListBullet"/>
      </w:pPr>
      <w:r>
        <w:t>Do not collapse partner-specific trust into a single global trust score.</w:t>
      </w:r>
    </w:p>
    <w:p>
      <w:pPr>
        <w:pStyle w:val="ListBullet"/>
      </w:pPr>
      <w:r>
        <w:t>Do not let positive recovery memory erase defection memory unless the model explicitly represents rehabilitation and its boundary conditions.</w:t>
      </w:r>
    </w:p>
    <w:p>
      <w:pPr>
        <w:pStyle w:val="ListBullet"/>
      </w:pPr>
      <w:r>
        <w:t>Do not treat bounded rehabilitation as full trust reentry.</w:t>
      </w:r>
    </w:p>
    <w:p>
      <w:pPr>
        <w:pStyle w:val="ListBullet"/>
      </w:pPr>
      <w:r>
        <w:t>Do not allow guarded cooperation to execute as unguarded cooperation.</w:t>
      </w:r>
    </w:p>
    <w:p>
      <w:pPr>
        <w:pStyle w:val="ListBullet"/>
      </w:pPr>
      <w:r>
        <w:t>Do not let reserve rebuilding starve a governing floor such as food, water, energy, trust reserve, tool condition, or information capital.</w:t>
      </w:r>
    </w:p>
    <w:p>
      <w:pPr>
        <w:pStyle w:val="ListBullet"/>
      </w:pPr>
      <w:r>
        <w:t>Do not let generic recovery mode substitute for a domain-specific recovery path when the domain-specific path is available and governing.</w:t>
      </w:r>
    </w:p>
    <w:p>
      <w:pPr>
        <w:pStyle w:val="ListBullet"/>
      </w:pPr>
      <w:r>
        <w:t>Do not treat crude memory or generalized distrust as equivalent to typed relational memory. Broad suppression is a failure mode, not an implementation shortcut.</w:t>
      </w:r>
    </w:p>
    <w:p>
      <w:pPr>
        <w:pStyle w:val="Heading1"/>
      </w:pPr>
      <w:r>
        <w:t>8. Simulation-Derived Interface Lessons</w:t>
      </w:r>
    </w:p>
    <w:p>
      <w:r>
        <w:t>The cooperation propensity and relational memory micro-simulation work exposed several interface lessons that matter for future operator implementation:</w:t>
      </w:r>
    </w:p>
    <w:p>
      <w:pPr>
        <w:pStyle w:val="ListBullet"/>
      </w:pPr>
      <w:r>
        <w:t>Typed memory can preserve bounded cooperation after defection without laundering the prior defector into full unguarded trust.</w:t>
      </w:r>
    </w:p>
    <w:p>
      <w:pPr>
        <w:pStyle w:val="ListBullet"/>
      </w:pPr>
      <w:r>
        <w:t>No-memory variants tend to repeat exposure because prior defection does not remain available to the candidate and adequacy stages.</w:t>
      </w:r>
    </w:p>
    <w:p>
      <w:pPr>
        <w:pStyle w:val="ListBullet"/>
      </w:pPr>
      <w:r>
        <w:t>Crude-memory variants tend to suppress cooperation broadly, producing generalized distrust and candidate-field failure rather than relationship-specific guardrails.</w:t>
      </w:r>
    </w:p>
    <w:p>
      <w:pPr>
        <w:pStyle w:val="ListBullet"/>
      </w:pPr>
      <w:r>
        <w:t>Reserve reconstruction must be corridor-wide. Rebuilding energy while starving food or water is not adequate recovery.</w:t>
      </w:r>
    </w:p>
    <w:p>
      <w:pPr>
        <w:pStyle w:val="ListBullet"/>
      </w:pPr>
      <w:r>
        <w:t>Execution traces must show constraints, adequacy, selected action, new memory, and post-action PP state so operator-interface failures can be audited.</w:t>
      </w:r>
    </w:p>
    <w:p>
      <w:pPr>
        <w:pStyle w:val="Heading1"/>
      </w:pPr>
      <w:r>
        <w:t>9. Migration Plan</w:t>
      </w:r>
    </w:p>
    <w:p>
      <w:r>
        <w:t>This addendum should remain in Operators Supporting until the canonical operator files are revised. At that point, its claims should be migrated selectively rather than copied wholesale.</w:t>
      </w:r>
    </w:p>
    <w:p>
      <w:pPr>
        <w:pStyle w:val="ListBullet"/>
      </w:pPr>
      <w:r>
        <w:t>PPP and Phi files should receive the memory-shaped perception interface.</w:t>
      </w:r>
    </w:p>
    <w:p>
      <w:pPr>
        <w:pStyle w:val="ListBullet"/>
      </w:pPr>
      <w:r>
        <w:t>Graph Layer and Pi files should receive the candidate visibility and guarded-policy construction interface.</w:t>
      </w:r>
    </w:p>
    <w:p>
      <w:pPr>
        <w:pStyle w:val="ListBullet"/>
      </w:pPr>
      <w:r>
        <w:t>Constraints, Domain Framing, and Adequacy files should receive the relationship-specific guardrail and recovery-corridor rules.</w:t>
      </w:r>
    </w:p>
    <w:p>
      <w:pPr>
        <w:pStyle w:val="ListBullet"/>
      </w:pPr>
      <w:r>
        <w:t>Sigma and epsilon files should receive the anti-laundering and execution-preservation rules.</w:t>
      </w:r>
    </w:p>
    <w:p>
      <w:pPr>
        <w:pStyle w:val="ListBullet"/>
      </w:pPr>
      <w:r>
        <w:t>The memory branch should remain the canonical source for memory classes, consolidation, decay, retrieval, and memory-quality discipline.</w:t>
      </w:r>
    </w:p>
    <w:p>
      <w:pPr>
        <w:pStyle w:val="Heading1"/>
      </w:pPr>
      <w:r>
        <w:t>10. Placement and Cross-Reference Notice</w:t>
      </w:r>
    </w:p>
    <w:p>
      <w:r>
        <w:t>Place this document in: 15 Operators / Operators Supporting /.</w:t>
      </w:r>
    </w:p>
    <w:p>
      <w:r>
        <w:t>Cross-reference it from any operator document that discusses PPP, Graph Layer candidate construction, Pi policy construction, constraints, adequacy, Sigma, execution, cooperation propensity, relational memory, guarded cooperation, reserve rebuilding, or recovery-corridor maintenance.</w:t>
      </w:r>
    </w:p>
    <w:p>
      <w:r>
        <w:t>The companion framework-class file should be placed under: 20 Stack and Layer Governance / Memory / Relational Memory / Typed Relational Memory /.</w:t>
      </w:r>
    </w:p>
    <w:p>
      <w:pPr>
        <w:pStyle w:val="Heading1"/>
      </w:pPr>
      <w:r>
        <w:t>11. Provisional Status Clause</w:t>
      </w:r>
    </w:p>
    <w:p>
      <w:r>
        <w:t>This document is provisional. It does not modify the canonical operator definitions. It identifies operator-interface pressure created by the typed relational memory and cooperation propensity work, pending later migration into the operator files themselves.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PV-PP Typed Relational Memory Operator Interface Addendum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PV-PP Typed Relational Memory Operator Interface Addendum v0.1</dc:title>
  <dc:subject>PV-PP operator-supporting addendum for typed relational memory and cooperation propensity interfaces</dc:subject>
  <dc:creator>Lance Amundsen</dc:creator>
  <cp:keywords>PV-PP, typed relational memory, cooperation propensity, operator interface, adequacy, Sigma, PPP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