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PV–PP Framework</w:t>
      </w:r>
    </w:p>
    <w:p>
      <w:pPr>
        <w:jc w:val="center"/>
      </w:pPr>
      <w:r>
        <w:rPr>
          <w:i/>
          <w:sz w:val="21"/>
        </w:rPr>
        <w:t>Operator Stack Overview — Canonical Reference Sheet (v1.1)</w:t>
      </w:r>
    </w:p>
    <w:p>
      <w:pPr>
        <w:pStyle w:val="Heading1"/>
      </w:pPr>
      <w:r>
        <w:t>Purpose</w:t>
      </w:r>
    </w:p>
    <w:p>
      <w:r>
        <w:t>This document presents the current lower-framework operator stack in one compact structural view. It clarifies how perception, decision, execution, and ontological transition fit together without compressing the current stack back into older shorthand.</w:t>
      </w:r>
    </w:p>
    <w:p>
      <w:pPr>
        <w:pStyle w:val="Heading1"/>
      </w:pPr>
      <w:r>
        <w:t>Full Current Operator Sequence</w:t>
      </w:r>
    </w:p>
    <w:p>
      <w:pPr>
        <w:jc w:val="center"/>
      </w:pPr>
      <w:r>
        <w:rPr>
          <w:b/>
        </w:rPr>
        <w:t>Perception update → Φ → H → G → ℛ → Graph Layer / seed substrate → Π → Π completeness validation → Constraints → Domain Framing → Adequacy → Σ → ε → Interaction Execution → PV Transfer Bundle → T_I Ontological State Transition</w:t>
      </w:r>
    </w:p>
    <w:p>
      <w:pPr>
        <w:pStyle w:val="Heading1"/>
      </w:pPr>
      <w:r>
        <w:t>Operator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7488"/>
            <w:vAlign w:val="center"/>
            <w:shd w:fill="D9EAF7"/>
          </w:tcPr>
          <w:p>
            <w:r>
              <w:rPr>
                <w:b/>
              </w:rPr>
              <w:t>Structural role</w:t>
            </w:r>
          </w:p>
        </w:tc>
      </w:tr>
      <w:tr>
        <w:tc>
          <w:tcPr>
            <w:tcW w:type="dxa" w:w="2592"/>
            <w:vAlign w:val="center"/>
          </w:tcPr>
          <w:p>
            <w:r>
              <w:t>Perception update</w:t>
            </w:r>
          </w:p>
        </w:tc>
        <w:tc>
          <w:tcPr>
            <w:tcW w:type="dxa" w:w="7488"/>
            <w:vAlign w:val="center"/>
          </w:tcPr>
          <w:p>
            <w:r>
              <w:t>Produces PPP_I(t), the perceived state used by Layer 2.</w:t>
            </w:r>
          </w:p>
        </w:tc>
      </w:tr>
      <w:tr>
        <w:tc>
          <w:tcPr>
            <w:tcW w:type="dxa" w:w="2592"/>
            <w:vAlign w:val="center"/>
          </w:tcPr>
          <w:p>
            <w:r>
              <w:t>Φ</w:t>
            </w:r>
          </w:p>
        </w:tc>
        <w:tc>
          <w:tcPr>
            <w:tcW w:type="dxa" w:w="7488"/>
            <w:vAlign w:val="center"/>
          </w:tcPr>
          <w:p>
            <w:r>
              <w:t>Constructs domain-structured pressure representation.</w:t>
            </w:r>
          </w:p>
        </w:tc>
      </w:tr>
      <w:tr>
        <w:tc>
          <w:tcPr>
            <w:tcW w:type="dxa" w:w="2592"/>
            <w:vAlign w:val="center"/>
          </w:tcPr>
          <w:p>
            <w:r>
              <w:t>H</w:t>
            </w:r>
          </w:p>
        </w:tc>
        <w:tc>
          <w:tcPr>
            <w:tcW w:type="dxa" w:w="7488"/>
            <w:vAlign w:val="center"/>
          </w:tcPr>
          <w:p>
            <w:r>
              <w:t>Maps baseline collapse horizons under continuation conditions.</w:t>
            </w:r>
          </w:p>
        </w:tc>
      </w:tr>
      <w:tr>
        <w:tc>
          <w:tcPr>
            <w:tcW w:type="dxa" w:w="2592"/>
            <w:vAlign w:val="center"/>
          </w:tcPr>
          <w:p>
            <w:r>
              <w:t>G</w:t>
            </w:r>
          </w:p>
        </w:tc>
        <w:tc>
          <w:tcPr>
            <w:tcW w:type="dxa" w:w="7488"/>
            <w:vAlign w:val="center"/>
          </w:tcPr>
          <w:p>
            <w:r>
              <w:t>Identifies the dependency-closed governing set.</w:t>
            </w:r>
          </w:p>
        </w:tc>
      </w:tr>
      <w:tr>
        <w:tc>
          <w:tcPr>
            <w:tcW w:type="dxa" w:w="2592"/>
            <w:vAlign w:val="center"/>
          </w:tcPr>
          <w:p>
            <w:r>
              <w:t>ℛ</w:t>
            </w:r>
          </w:p>
        </w:tc>
        <w:tc>
          <w:tcPr>
            <w:tcW w:type="dxa" w:w="7488"/>
            <w:vAlign w:val="center"/>
          </w:tcPr>
          <w:p>
            <w:r>
              <w:t>Classifies current regime posture.</w:t>
            </w:r>
          </w:p>
        </w:tc>
      </w:tr>
      <w:tr>
        <w:tc>
          <w:tcPr>
            <w:tcW w:type="dxa" w:w="2592"/>
            <w:vAlign w:val="center"/>
          </w:tcPr>
          <w:p>
            <w:r>
              <w:t>Graph Layer / seed substrate</w:t>
            </w:r>
          </w:p>
        </w:tc>
        <w:tc>
          <w:tcPr>
            <w:tcW w:type="dxa" w:w="7488"/>
            <w:vAlign w:val="center"/>
          </w:tcPr>
          <w:p>
            <w:r>
              <w:t>Provides reachable structural policy substrate.</w:t>
            </w:r>
          </w:p>
        </w:tc>
      </w:tr>
      <w:tr>
        <w:tc>
          <w:tcPr>
            <w:tcW w:type="dxa" w:w="2592"/>
            <w:vAlign w:val="center"/>
          </w:tcPr>
          <w:p>
            <w:r>
              <w:t>Π</w:t>
            </w:r>
          </w:p>
        </w:tc>
        <w:tc>
          <w:tcPr>
            <w:tcW w:type="dxa" w:w="7488"/>
            <w:vAlign w:val="center"/>
          </w:tcPr>
          <w:p>
            <w:r>
              <w:t>Constructs bounded candidate policies from graph-derived seeds.</w:t>
            </w:r>
          </w:p>
        </w:tc>
      </w:tr>
      <w:tr>
        <w:tc>
          <w:tcPr>
            <w:tcW w:type="dxa" w:w="2592"/>
            <w:vAlign w:val="center"/>
          </w:tcPr>
          <w:p>
            <w:r>
              <w:t>Π completeness validation</w:t>
            </w:r>
          </w:p>
        </w:tc>
        <w:tc>
          <w:tcPr>
            <w:tcW w:type="dxa" w:w="7488"/>
            <w:vAlign w:val="center"/>
          </w:tcPr>
          <w:p>
            <w:r>
              <w:t>Blocks materially incomplete candidate sets.</w:t>
            </w:r>
          </w:p>
        </w:tc>
      </w:tr>
      <w:tr>
        <w:tc>
          <w:tcPr>
            <w:tcW w:type="dxa" w:w="2592"/>
            <w:vAlign w:val="center"/>
          </w:tcPr>
          <w:p>
            <w:r>
              <w:t>Constraints</w:t>
            </w:r>
          </w:p>
        </w:tc>
        <w:tc>
          <w:tcPr>
            <w:tcW w:type="dxa" w:w="7488"/>
            <w:vAlign w:val="center"/>
          </w:tcPr>
          <w:p>
            <w:r>
              <w:t>Filters infeasible candidates.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Domain Framing</w:t>
            </w:r>
          </w:p>
        </w:tc>
        <w:tc>
          <w:tcPr>
            <w:tcW w:type="dxa" w:w="7488"/>
            <w:vAlign w:val="center"/>
          </w:tcPr>
          <w:p>
            <w:r>
              <w:t>Declares the preservation target explicitly.</w:t>
            </w:r>
          </w:p>
        </w:tc>
      </w:tr>
      <w:tr>
        <w:tc>
          <w:tcPr>
            <w:tcW w:type="dxa" w:w="2592"/>
            <w:vAlign w:val="center"/>
          </w:tcPr>
          <w:p>
            <w:r>
              <w:t>Adequacy</w:t>
            </w:r>
          </w:p>
        </w:tc>
        <w:tc>
          <w:tcPr>
            <w:tcW w:type="dxa" w:w="7488"/>
            <w:vAlign w:val="center"/>
          </w:tcPr>
          <w:p>
            <w:r>
              <w:t>Tests recovery-corridor sufficiency for the framed governing target.</w:t>
            </w:r>
          </w:p>
        </w:tc>
      </w:tr>
      <w:tr>
        <w:tc>
          <w:tcPr>
            <w:tcW w:type="dxa" w:w="2592"/>
            <w:vAlign w:val="center"/>
          </w:tcPr>
          <w:p>
            <w:r>
              <w:t>Σ</w:t>
            </w:r>
          </w:p>
        </w:tc>
        <w:tc>
          <w:tcPr>
            <w:tcW w:type="dxa" w:w="7488"/>
            <w:vAlign w:val="center"/>
          </w:tcPr>
          <w:p>
            <w:r>
              <w:t>Performs non-scalar selection only after upstream validity conditions are satisfied.</w:t>
            </w:r>
          </w:p>
        </w:tc>
      </w:tr>
      <w:tr>
        <w:tc>
          <w:tcPr>
            <w:tcW w:type="dxa" w:w="2592"/>
            <w:vAlign w:val="center"/>
          </w:tcPr>
          <w:p>
            <w:r>
              <w:t>ε</w:t>
            </w:r>
          </w:p>
        </w:tc>
        <w:tc>
          <w:tcPr>
            <w:tcW w:type="dxa" w:w="7488"/>
            <w:vAlign w:val="center"/>
          </w:tcPr>
          <w:p>
            <w:r>
              <w:t>Realizes the selected policy under bounded execution discipline.</w:t>
            </w:r>
          </w:p>
        </w:tc>
      </w:tr>
      <w:tr>
        <w:tc>
          <w:tcPr>
            <w:tcW w:type="dxa" w:w="2592"/>
            <w:vAlign w:val="center"/>
          </w:tcPr>
          <w:p>
            <w:r>
              <w:t>Interaction Execution</w:t>
            </w:r>
          </w:p>
        </w:tc>
        <w:tc>
          <w:tcPr>
            <w:tcW w:type="dxa" w:w="7488"/>
            <w:vAlign w:val="center"/>
          </w:tcPr>
          <w:p>
            <w:r>
              <w:t>Produces realized interaction effects.</w:t>
            </w:r>
          </w:p>
        </w:tc>
      </w:tr>
      <w:tr>
        <w:tc>
          <w:tcPr>
            <w:tcW w:type="dxa" w:w="2592"/>
            <w:vAlign w:val="center"/>
          </w:tcPr>
          <w:p>
            <w:r>
              <w:t>PV Transfer Bundle</w:t>
            </w:r>
          </w:p>
        </w:tc>
        <w:tc>
          <w:tcPr>
            <w:tcW w:type="dxa" w:w="7488"/>
            <w:vAlign w:val="center"/>
          </w:tcPr>
          <w:p>
            <w:r>
              <w:t>Carries realized productive-value changes.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T_I</w:t>
            </w:r>
          </w:p>
        </w:tc>
        <w:tc>
          <w:tcPr>
            <w:tcW w:type="dxa" w:w="7488"/>
            <w:vAlign w:val="center"/>
          </w:tcPr>
          <w:p>
            <w:r>
              <w:t>Updates actual productive power state.</w:t>
            </w:r>
          </w:p>
        </w:tc>
      </w:tr>
    </w:tbl>
    <w:p/>
    <w:p>
      <w:pPr>
        <w:pStyle w:val="Heading1"/>
      </w:pPr>
      <w:r>
        <w:t>Structural Properties</w:t>
      </w:r>
    </w:p>
    <w:p>
      <w:pPr>
        <w:pStyle w:val="ListBullet"/>
      </w:pPr>
      <w:r>
        <w:t>Non-scalar decision structure.</w:t>
      </w:r>
    </w:p>
    <w:p>
      <w:pPr>
        <w:pStyle w:val="ListBullet"/>
      </w:pPr>
      <w:r>
        <w:t>Bounded rationality: decisions operate on perceived rather than ontological state.</w:t>
      </w:r>
    </w:p>
    <w:p>
      <w:pPr>
        <w:pStyle w:val="ListBullet"/>
      </w:pPr>
      <w:r>
        <w:t>Graph-bound candidate construction and hard upstream sufficiency gating.</w:t>
      </w:r>
    </w:p>
    <w:p>
      <w:pPr>
        <w:pStyle w:val="ListBullet"/>
      </w:pPr>
      <w:r>
        <w:t>Explicit preservation framing and adequacy before final selection.</w:t>
      </w:r>
    </w:p>
    <w:p>
      <w:pPr>
        <w:pStyle w:val="ListBullet"/>
      </w:pPr>
      <w:r>
        <w:t>Execution realism: policies matter only through realized interaction and transition.</w:t>
      </w:r>
    </w:p>
    <w:p>
      <w:pPr>
        <w:pStyle w:val="Heading1"/>
      </w:pPr>
      <w:r>
        <w:t>Current Clarification</w:t>
      </w:r>
    </w:p>
    <w:p>
      <w:r>
        <w:t>The current architecture distinguishes represented pressure from structural governance, and structural governance from effective local behavioral binding. A domain may remain structurally governing while being locally devalued under acute local dominance.</w:t>
      </w:r>
    </w:p>
    <w:p>
      <w:pPr>
        <w:pStyle w:val="Heading1"/>
      </w:pPr>
      <w:r>
        <w:t>Summary</w:t>
      </w:r>
    </w:p>
    <w:p>
      <w:r>
        <w:t>This reference sheet is safe only as a compact summary of the current full stack. Operator internals, thresholds, and ownership remain with the master architecture document, the ownership map, and the operator-level canonical files.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