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PV-PP Layer 4B Cross Reference Note</w:t>
      </w:r>
    </w:p>
    <w:p>
      <w:pPr>
        <w:jc w:val="center"/>
      </w:pPr>
      <w:r>
        <w:t>Cooperation Access and Typed Relational Memory</w:t>
      </w:r>
    </w:p>
    <w:p>
      <w:pPr>
        <w:jc w:val="center"/>
      </w:pPr>
      <w:r>
        <w:t>Version 0.2 - Framework Insertion and Cross-Reference Note</w:t>
      </w:r>
    </w:p>
    <w:p>
      <w:r>
        <w:t>Status: Revised exploratory cross-reference. Supersedes v0.1.</w:t>
      </w:r>
    </w:p>
    <w:p>
      <w:r>
        <w:t>Framework boundary: This note does not create a cooperation-propensity primitive, a relational field primitive, or an alternative operator path. It links typed relational memory and guarded cooperation evidence to Layer 4B research and to provisional Layer 4A scaling concepts.</w:t>
      </w:r>
    </w:p>
    <w:p/>
    <w:tbl>
      <w:tblPr>
        <w:tblStyle w:val="TableGrid"/>
        <w:tblW w:type="auto" w:w="0"/>
        <w:jc w:val="center"/>
        <w:tblLook w:firstColumn="1" w:firstRow="1" w:lastColumn="0" w:lastRow="0" w:noHBand="0" w:noVBand="1" w:val="04A0"/>
      </w:tblPr>
      <w:tblGrid>
        <w:gridCol w:w="5040"/>
        <w:gridCol w:w="5040"/>
      </w:tblGrid>
      <w:tr>
        <w:tc>
          <w:tcPr>
            <w:tcW w:type="dxa" w:w="2592"/>
            <w:vAlign w:val="top"/>
            <w:shd w:fill="D9EAF7"/>
          </w:tcPr>
          <w:p>
            <w:r>
              <w:rPr>
                <w:rFonts w:ascii="Aptos" w:hAnsi="Aptos"/>
              </w:rPr>
            </w:r>
            <w:r>
              <w:rPr>
                <w:rFonts w:ascii="Aptos" w:hAnsi="Aptos"/>
                <w:b/>
                <w:sz w:val="18"/>
              </w:rPr>
              <w:t>Document class</w:t>
            </w:r>
          </w:p>
        </w:tc>
        <w:tc>
          <w:tcPr>
            <w:tcW w:type="dxa" w:w="8208"/>
            <w:vAlign w:val="top"/>
          </w:tcPr>
          <w:p>
            <w:r>
              <w:rPr>
                <w:rFonts w:ascii="Aptos" w:hAnsi="Aptos"/>
              </w:rPr>
            </w:r>
            <w:r>
              <w:rPr>
                <w:rFonts w:ascii="Aptos" w:hAnsi="Aptos"/>
                <w:b w:val="0"/>
                <w:sz w:val="18"/>
              </w:rPr>
              <w:t>Layer 4B cross-reference note / exploratory-extension linkage note</w:t>
            </w:r>
          </w:p>
        </w:tc>
      </w:tr>
      <w:tr>
        <w:tc>
          <w:tcPr>
            <w:tcW w:type="dxa" w:w="2592"/>
            <w:vAlign w:val="top"/>
            <w:shd w:fill="D9EAF7"/>
          </w:tcPr>
          <w:p>
            <w:r>
              <w:rPr>
                <w:rFonts w:ascii="Aptos" w:hAnsi="Aptos"/>
              </w:rPr>
            </w:r>
            <w:r>
              <w:rPr>
                <w:rFonts w:ascii="Aptos" w:hAnsi="Aptos"/>
                <w:b/>
                <w:sz w:val="18"/>
              </w:rPr>
              <w:t>Primary placement</w:t>
            </w:r>
          </w:p>
        </w:tc>
        <w:tc>
          <w:tcPr>
            <w:tcW w:type="dxa" w:w="8208"/>
            <w:vAlign w:val="top"/>
          </w:tcPr>
          <w:p>
            <w:r>
              <w:rPr>
                <w:rFonts w:ascii="Aptos" w:hAnsi="Aptos"/>
              </w:rPr>
            </w:r>
            <w:r>
              <w:rPr>
                <w:rFonts w:ascii="Aptos" w:hAnsi="Aptos"/>
                <w:b w:val="0"/>
                <w:sz w:val="18"/>
              </w:rPr>
              <w:t>30 Applications and Extensions / Layer 4B</w:t>
            </w:r>
          </w:p>
        </w:tc>
      </w:tr>
      <w:tr>
        <w:tc>
          <w:tcPr>
            <w:tcW w:type="dxa" w:w="2592"/>
            <w:vAlign w:val="top"/>
            <w:shd w:fill="D9EAF7"/>
          </w:tcPr>
          <w:p>
            <w:r>
              <w:rPr>
                <w:rFonts w:ascii="Aptos" w:hAnsi="Aptos"/>
              </w:rPr>
            </w:r>
            <w:r>
              <w:rPr>
                <w:rFonts w:ascii="Aptos" w:hAnsi="Aptos"/>
                <w:b/>
                <w:sz w:val="18"/>
              </w:rPr>
              <w:t>Cross-reference target</w:t>
            </w:r>
          </w:p>
        </w:tc>
        <w:tc>
          <w:tcPr>
            <w:tcW w:type="dxa" w:w="8208"/>
            <w:vAlign w:val="top"/>
          </w:tcPr>
          <w:p>
            <w:r>
              <w:rPr>
                <w:rFonts w:ascii="Aptos" w:hAnsi="Aptos"/>
              </w:rPr>
            </w:r>
            <w:r>
              <w:rPr>
                <w:rFonts w:ascii="Aptos" w:hAnsi="Aptos"/>
                <w:b w:val="0"/>
                <w:sz w:val="18"/>
              </w:rPr>
              <w:t>30 Applications and Extensions / Simulation Benchmarks / Cooperation Access and Relational Memory</w:t>
            </w:r>
          </w:p>
        </w:tc>
      </w:tr>
      <w:tr>
        <w:tc>
          <w:tcPr>
            <w:tcW w:type="dxa" w:w="2592"/>
            <w:vAlign w:val="top"/>
            <w:shd w:fill="D9EAF7"/>
          </w:tcPr>
          <w:p>
            <w:r>
              <w:rPr>
                <w:rFonts w:ascii="Aptos" w:hAnsi="Aptos"/>
              </w:rPr>
            </w:r>
            <w:r>
              <w:rPr>
                <w:rFonts w:ascii="Aptos" w:hAnsi="Aptos"/>
                <w:b/>
                <w:sz w:val="18"/>
              </w:rPr>
              <w:t>Governance anchor</w:t>
            </w:r>
          </w:p>
        </w:tc>
        <w:tc>
          <w:tcPr>
            <w:tcW w:type="dxa" w:w="8208"/>
            <w:vAlign w:val="top"/>
          </w:tcPr>
          <w:p>
            <w:r>
              <w:rPr>
                <w:rFonts w:ascii="Aptos" w:hAnsi="Aptos"/>
              </w:rPr>
            </w:r>
            <w:r>
              <w:rPr>
                <w:rFonts w:ascii="Aptos" w:hAnsi="Aptos"/>
                <w:b w:val="0"/>
                <w:sz w:val="18"/>
              </w:rPr>
              <w:t>20 Stack and Layer Governance / Memory / Typed Relational Memory</w:t>
            </w:r>
          </w:p>
        </w:tc>
      </w:tr>
      <w:tr>
        <w:tc>
          <w:tcPr>
            <w:tcW w:type="dxa" w:w="2592"/>
            <w:vAlign w:val="top"/>
            <w:shd w:fill="D9EAF7"/>
          </w:tcPr>
          <w:p>
            <w:r>
              <w:rPr>
                <w:rFonts w:ascii="Aptos" w:hAnsi="Aptos"/>
              </w:rPr>
            </w:r>
            <w:r>
              <w:rPr>
                <w:rFonts w:ascii="Aptos" w:hAnsi="Aptos"/>
                <w:b/>
                <w:sz w:val="18"/>
              </w:rPr>
              <w:t>Operator anchor</w:t>
            </w:r>
          </w:p>
        </w:tc>
        <w:tc>
          <w:tcPr>
            <w:tcW w:type="dxa" w:w="8208"/>
            <w:vAlign w:val="top"/>
          </w:tcPr>
          <w:p>
            <w:r>
              <w:rPr>
                <w:rFonts w:ascii="Aptos" w:hAnsi="Aptos"/>
              </w:rPr>
            </w:r>
            <w:r>
              <w:rPr>
                <w:rFonts w:ascii="Aptos" w:hAnsi="Aptos"/>
                <w:b w:val="0"/>
                <w:sz w:val="18"/>
              </w:rPr>
              <w:t>15 Operators / Operator Supporting / Relational Memory and Cooperation Access Operator Interface Note</w:t>
            </w:r>
          </w:p>
        </w:tc>
      </w:tr>
      <w:tr>
        <w:tc>
          <w:tcPr>
            <w:tcW w:type="dxa" w:w="2592"/>
            <w:vAlign w:val="top"/>
            <w:shd w:fill="D9EAF7"/>
          </w:tcPr>
          <w:p>
            <w:r>
              <w:rPr>
                <w:rFonts w:ascii="Aptos" w:hAnsi="Aptos"/>
              </w:rPr>
            </w:r>
            <w:r>
              <w:rPr>
                <w:rFonts w:ascii="Aptos" w:hAnsi="Aptos"/>
                <w:b/>
                <w:sz w:val="18"/>
              </w:rPr>
              <w:t>Status</w:t>
            </w:r>
          </w:p>
        </w:tc>
        <w:tc>
          <w:tcPr>
            <w:tcW w:type="dxa" w:w="8208"/>
            <w:vAlign w:val="top"/>
          </w:tcPr>
          <w:p>
            <w:r>
              <w:rPr>
                <w:rFonts w:ascii="Aptos" w:hAnsi="Aptos"/>
              </w:rPr>
            </w:r>
            <w:r>
              <w:rPr>
                <w:rFonts w:ascii="Aptos" w:hAnsi="Aptos"/>
                <w:b w:val="0"/>
                <w:sz w:val="18"/>
              </w:rPr>
              <w:t>Non-canonical cross-reference until migrated into Layer 4B or adjacent canonical extension files</w:t>
            </w:r>
          </w:p>
        </w:tc>
      </w:tr>
    </w:tbl>
    <w:p>
      <w:pPr>
        <w:pStyle w:val="Heading1"/>
      </w:pPr>
      <w:r>
        <w:t>1. Purpose</w:t>
      </w:r>
    </w:p>
    <w:p>
      <w:r>
        <w:t>This note records the Layer 4B relevance of the cooperation access and typed relational memory workstream. It is not a replacement for the Layer 4B exploratory extensions file. It is a cross-reference note intended to prevent the new simulation and memory material from being treated as a narrow benchmark artifact only.</w:t>
      </w:r>
    </w:p>
    <w:p>
      <w:r>
        <w:t>The core point is that the workstream has implications for exploratory multi-agent scaling: agents do not merely select actions from current PP conditions; they carry typed relational memory that shapes counterpart-specific policy access, guardrail requirements, expectations, confidence, recovery pathways, and post-crisis reconstruction of PP, SPV, and domain margins.</w:t>
      </w:r>
    </w:p>
    <w:p>
      <w:pPr>
        <w:pStyle w:val="Heading1"/>
      </w:pPr>
      <w:r>
        <w:t>2. Layer 4B relevance</w:t>
      </w:r>
    </w:p>
    <w:p>
      <w:r>
        <w:t>Layer 4B is the correct layer for speculative and exploratory extensions that are not yet fully migrated into the canonical operator stack. Cooperation access and typed relational memory belong here because they suggest a general extension family: relationally conditioned policy access, configuration-dependent PP, and recovery across repeated interactions.</w:t>
      </w:r>
    </w:p>
    <w:p>
      <w:r>
        <w:t>The extension is not only behavioral. It affects how systems remain viable across repeated exchanges, hostile or mixed counterparties, partial defections, bounded rehabilitation, and recovery from corridor degradation.</w:t>
      </w:r>
    </w:p>
    <w:p>
      <w:pPr>
        <w:pStyle w:val="Heading1"/>
      </w:pPr>
      <w:r>
        <w:t>3. Cross-reference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rPr>
            </w:r>
            <w:r>
              <w:rPr>
                <w:rFonts w:ascii="Aptos" w:hAnsi="Aptos"/>
                <w:b/>
                <w:sz w:val="18"/>
              </w:rPr>
              <w:t>Framework area</w:t>
            </w:r>
          </w:p>
        </w:tc>
        <w:tc>
          <w:tcPr>
            <w:tcW w:type="dxa" w:w="3360"/>
            <w:vAlign w:val="top"/>
            <w:shd w:fill="D9EAF7"/>
          </w:tcPr>
          <w:p>
            <w:r>
              <w:rPr>
                <w:rFonts w:ascii="Aptos" w:hAnsi="Aptos"/>
              </w:rPr>
            </w:r>
            <w:r>
              <w:rPr>
                <w:rFonts w:ascii="Aptos" w:hAnsi="Aptos"/>
                <w:b/>
                <w:sz w:val="18"/>
              </w:rPr>
              <w:t>Connection</w:t>
            </w:r>
          </w:p>
        </w:tc>
        <w:tc>
          <w:tcPr>
            <w:tcW w:type="dxa" w:w="3360"/>
            <w:vAlign w:val="top"/>
            <w:shd w:fill="D9EAF7"/>
          </w:tcPr>
          <w:p>
            <w:r>
              <w:rPr>
                <w:rFonts w:ascii="Aptos" w:hAnsi="Aptos"/>
              </w:rPr>
            </w:r>
            <w:r>
              <w:rPr>
                <w:rFonts w:ascii="Aptos" w:hAnsi="Aptos"/>
                <w:b/>
                <w:sz w:val="18"/>
              </w:rPr>
              <w:t>Reason for Layer 4B cross-reference</w:t>
            </w:r>
          </w:p>
        </w:tc>
      </w:tr>
      <w:tr>
        <w:tc>
          <w:tcPr>
            <w:tcW w:type="dxa" w:w="3360"/>
            <w:vAlign w:val="top"/>
          </w:tcPr>
          <w:p>
            <w:r>
              <w:rPr>
                <w:rFonts w:ascii="Aptos" w:hAnsi="Aptos"/>
              </w:rPr>
            </w:r>
            <w:r>
              <w:rPr>
                <w:rFonts w:ascii="Aptos" w:hAnsi="Aptos"/>
                <w:b w:val="0"/>
                <w:sz w:val="18"/>
              </w:rPr>
              <w:t>Cooperation access</w:t>
            </w:r>
          </w:p>
        </w:tc>
        <w:tc>
          <w:tcPr>
            <w:tcW w:type="dxa" w:w="3360"/>
            <w:vAlign w:val="top"/>
          </w:tcPr>
          <w:p>
            <w:r>
              <w:rPr>
                <w:rFonts w:ascii="Aptos" w:hAnsi="Aptos"/>
              </w:rPr>
            </w:r>
            <w:r>
              <w:rPr>
                <w:rFonts w:ascii="Aptos" w:hAnsi="Aptos"/>
                <w:b w:val="0"/>
                <w:sz w:val="18"/>
              </w:rPr>
              <w:t>Derived availability of cooperation policies under counterpart-specific memory, expectation, confidence, guardrails, PVS, constraints, and adequacy.</w:t>
            </w:r>
          </w:p>
        </w:tc>
        <w:tc>
          <w:tcPr>
            <w:tcW w:type="dxa" w:w="3360"/>
            <w:vAlign w:val="top"/>
          </w:tcPr>
          <w:p>
            <w:r>
              <w:rPr>
                <w:rFonts w:ascii="Aptos" w:hAnsi="Aptos"/>
              </w:rPr>
            </w:r>
            <w:r>
              <w:rPr>
                <w:rFonts w:ascii="Aptos" w:hAnsi="Aptos"/>
                <w:b w:val="0"/>
                <w:sz w:val="18"/>
              </w:rPr>
              <w:t>Acts as a candidate extension for relationship-specific policy access beyond static action scoring.</w:t>
            </w:r>
          </w:p>
        </w:tc>
      </w:tr>
      <w:tr>
        <w:tc>
          <w:tcPr>
            <w:tcW w:type="dxa" w:w="3360"/>
            <w:vAlign w:val="top"/>
          </w:tcPr>
          <w:p>
            <w:r>
              <w:rPr>
                <w:rFonts w:ascii="Aptos" w:hAnsi="Aptos"/>
              </w:rPr>
            </w:r>
            <w:r>
              <w:rPr>
                <w:rFonts w:ascii="Aptos" w:hAnsi="Aptos"/>
                <w:b w:val="0"/>
                <w:sz w:val="18"/>
              </w:rPr>
              <w:t>Typed relational memory</w:t>
            </w:r>
          </w:p>
        </w:tc>
        <w:tc>
          <w:tcPr>
            <w:tcW w:type="dxa" w:w="3360"/>
            <w:vAlign w:val="top"/>
          </w:tcPr>
          <w:p>
            <w:r>
              <w:rPr>
                <w:rFonts w:ascii="Aptos" w:hAnsi="Aptos"/>
              </w:rPr>
            </w:r>
            <w:r>
              <w:rPr>
                <w:rFonts w:ascii="Aptos" w:hAnsi="Aptos"/>
                <w:b w:val="0"/>
                <w:sz w:val="18"/>
              </w:rPr>
              <w:t>Memory differentiated by counterparty, event type, affected domain, success, defection, guardrail state, recovery path, and confidence.</w:t>
            </w:r>
          </w:p>
        </w:tc>
        <w:tc>
          <w:tcPr>
            <w:tcW w:type="dxa" w:w="3360"/>
            <w:vAlign w:val="top"/>
          </w:tcPr>
          <w:p>
            <w:r>
              <w:rPr>
                <w:rFonts w:ascii="Aptos" w:hAnsi="Aptos"/>
              </w:rPr>
            </w:r>
            <w:r>
              <w:rPr>
                <w:rFonts w:ascii="Aptos" w:hAnsi="Aptos"/>
                <w:b w:val="0"/>
                <w:sz w:val="18"/>
              </w:rPr>
              <w:t>Prevents the model from collapsing all past cooperation into generic trust or generic distrust.</w:t>
            </w:r>
          </w:p>
        </w:tc>
      </w:tr>
      <w:tr>
        <w:tc>
          <w:tcPr>
            <w:tcW w:type="dxa" w:w="3360"/>
            <w:vAlign w:val="top"/>
          </w:tcPr>
          <w:p>
            <w:r>
              <w:rPr>
                <w:rFonts w:ascii="Aptos" w:hAnsi="Aptos"/>
              </w:rPr>
            </w:r>
            <w:r>
              <w:rPr>
                <w:rFonts w:ascii="Aptos" w:hAnsi="Aptos"/>
                <w:b w:val="0"/>
                <w:sz w:val="18"/>
              </w:rPr>
              <w:t>Bounded rehabilitation</w:t>
            </w:r>
          </w:p>
        </w:tc>
        <w:tc>
          <w:tcPr>
            <w:tcW w:type="dxa" w:w="3360"/>
            <w:vAlign w:val="top"/>
          </w:tcPr>
          <w:p>
            <w:r>
              <w:rPr>
                <w:rFonts w:ascii="Aptos" w:hAnsi="Aptos"/>
              </w:rPr>
            </w:r>
            <w:r>
              <w:rPr>
                <w:rFonts w:ascii="Aptos" w:hAnsi="Aptos"/>
                <w:b w:val="0"/>
                <w:sz w:val="18"/>
              </w:rPr>
              <w:t>Prior defectors may re-enter the live cooperation set only through boundary-preserving mechanisms when constraints and adequacy permit it.</w:t>
            </w:r>
          </w:p>
        </w:tc>
        <w:tc>
          <w:tcPr>
            <w:tcW w:type="dxa" w:w="3360"/>
            <w:vAlign w:val="top"/>
          </w:tcPr>
          <w:p>
            <w:r>
              <w:rPr>
                <w:rFonts w:ascii="Aptos" w:hAnsi="Aptos"/>
              </w:rPr>
            </w:r>
            <w:r>
              <w:rPr>
                <w:rFonts w:ascii="Aptos" w:hAnsi="Aptos"/>
                <w:b w:val="0"/>
                <w:sz w:val="18"/>
              </w:rPr>
              <w:t>Shows how relational systems can reopen cooperation without laundering risk into full trust.</w:t>
            </w:r>
          </w:p>
        </w:tc>
      </w:tr>
      <w:tr>
        <w:tc>
          <w:tcPr>
            <w:tcW w:type="dxa" w:w="3360"/>
            <w:vAlign w:val="top"/>
          </w:tcPr>
          <w:p>
            <w:r>
              <w:rPr>
                <w:rFonts w:ascii="Aptos" w:hAnsi="Aptos"/>
              </w:rPr>
            </w:r>
            <w:r>
              <w:rPr>
                <w:rFonts w:ascii="Aptos" w:hAnsi="Aptos"/>
                <w:b w:val="0"/>
                <w:sz w:val="18"/>
              </w:rPr>
              <w:t>Corridor reconstruction</w:t>
            </w:r>
          </w:p>
        </w:tc>
        <w:tc>
          <w:tcPr>
            <w:tcW w:type="dxa" w:w="3360"/>
            <w:vAlign w:val="top"/>
          </w:tcPr>
          <w:p>
            <w:r>
              <w:rPr>
                <w:rFonts w:ascii="Aptos" w:hAnsi="Aptos"/>
              </w:rPr>
            </w:r>
            <w:r>
              <w:rPr>
                <w:rFonts w:ascii="Aptos" w:hAnsi="Aptos"/>
                <w:b w:val="0"/>
                <w:sz w:val="18"/>
              </w:rPr>
              <w:t>Post-crisis rebuilding of domain margins, available SPV, relevant PP, credible information, and bounded cooperation corridors.</w:t>
            </w:r>
          </w:p>
        </w:tc>
        <w:tc>
          <w:tcPr>
            <w:tcW w:type="dxa" w:w="3360"/>
            <w:vAlign w:val="top"/>
          </w:tcPr>
          <w:p>
            <w:r>
              <w:rPr>
                <w:rFonts w:ascii="Aptos" w:hAnsi="Aptos"/>
              </w:rPr>
            </w:r>
            <w:r>
              <w:rPr>
                <w:rFonts w:ascii="Aptos" w:hAnsi="Aptos"/>
                <w:b w:val="0"/>
                <w:sz w:val="18"/>
              </w:rPr>
              <w:t>Extends recovery analysis from immediate survival to durable productive-power restoration.</w:t>
            </w:r>
          </w:p>
        </w:tc>
      </w:tr>
      <w:tr>
        <w:tc>
          <w:tcPr>
            <w:tcW w:type="dxa" w:w="3360"/>
            <w:vAlign w:val="top"/>
          </w:tcPr>
          <w:p>
            <w:r>
              <w:rPr>
                <w:rFonts w:ascii="Aptos" w:hAnsi="Aptos"/>
              </w:rPr>
            </w:r>
            <w:r>
              <w:rPr>
                <w:rFonts w:ascii="Aptos" w:hAnsi="Aptos"/>
                <w:b w:val="0"/>
                <w:sz w:val="18"/>
              </w:rPr>
              <w:t>Crude-memory contrast</w:t>
            </w:r>
          </w:p>
        </w:tc>
        <w:tc>
          <w:tcPr>
            <w:tcW w:type="dxa" w:w="3360"/>
            <w:vAlign w:val="top"/>
          </w:tcPr>
          <w:p>
            <w:r>
              <w:rPr>
                <w:rFonts w:ascii="Aptos" w:hAnsi="Aptos"/>
              </w:rPr>
            </w:r>
            <w:r>
              <w:rPr>
                <w:rFonts w:ascii="Aptos" w:hAnsi="Aptos"/>
                <w:b w:val="0"/>
                <w:sz w:val="18"/>
              </w:rPr>
              <w:t>Untyped memory can produce broad distrust and candidate-field suppression.</w:t>
            </w:r>
          </w:p>
        </w:tc>
        <w:tc>
          <w:tcPr>
            <w:tcW w:type="dxa" w:w="3360"/>
            <w:vAlign w:val="top"/>
          </w:tcPr>
          <w:p>
            <w:r>
              <w:rPr>
                <w:rFonts w:ascii="Aptos" w:hAnsi="Aptos"/>
              </w:rPr>
            </w:r>
            <w:r>
              <w:rPr>
                <w:rFonts w:ascii="Aptos" w:hAnsi="Aptos"/>
                <w:b w:val="0"/>
                <w:sz w:val="18"/>
              </w:rPr>
              <w:t>Provides a failure mode for scaling: memory can govern badly when it loses relational specificity.</w:t>
            </w:r>
          </w:p>
        </w:tc>
      </w:tr>
    </w:tbl>
    <w:p>
      <w:pPr>
        <w:pStyle w:val="Heading1"/>
      </w:pPr>
      <w:r>
        <w:t>4. Implications for Layer 4B exploratory extensions</w:t>
      </w:r>
    </w:p>
    <w:p>
      <w:pPr>
        <w:pStyle w:val="Heading2"/>
      </w:pPr>
      <w:r>
        <w:t>Relationally Conditioned Policy Access and Configuration-Dependent PP</w:t>
      </w:r>
    </w:p>
    <w:p>
      <w:r>
        <w:t>The workstream implies that PP can be relationally conditioned. The same agent state may support different actions depending on which counterparty is involved and what typed memory is retrievable.</w:t>
      </w:r>
    </w:p>
    <w:p>
      <w:pPr>
        <w:pStyle w:val="Heading2"/>
      </w:pPr>
      <w:r>
        <w:t>Memory-governed cooperation scaling</w:t>
      </w:r>
    </w:p>
    <w:p>
      <w:r>
        <w:t>Large systems do not scale cooperation by maximizing generic trust. They scale by preserving typed distinctions among reliable partners, bounded-risk partners, defectors, guarded recovery channels, and unavailable or unsafe counterparties.</w:t>
      </w:r>
    </w:p>
    <w:p>
      <w:pPr>
        <w:pStyle w:val="Heading2"/>
      </w:pPr>
      <w:r>
        <w:t>Recovery beyond immediate survival</w:t>
      </w:r>
    </w:p>
    <w:p>
      <w:r>
        <w:t>The v0.21 and v0.22 benchmark family makes post-crisis reconstruction explicit. A system that merely avoids collapse but fails to rebuild available SPV, relevant PP, domain margins, and credible cooperation corridors remains fragile. This is Layer 4B-relevant because it points toward longer-horizon scaling dynamics.</w:t>
      </w:r>
    </w:p>
    <w:p>
      <w:pPr>
        <w:pStyle w:val="Heading2"/>
      </w:pPr>
      <w:r>
        <w:t>Anti-laundering constraint for positive evidence</w:t>
      </w:r>
    </w:p>
    <w:p>
      <w:r>
        <w:t>Positive cooperation evidence cannot automatically erase defection history when the relationship still requires guardrails, lower confidence, or bounded exposure. This is a general exploratory principle for social, institutional, and agentic scaling environments.</w:t>
      </w:r>
    </w:p>
    <w:p>
      <w:pPr>
        <w:pStyle w:val="Heading2"/>
      </w:pPr>
      <w:r>
        <w:t>Typed memory as a scaling substrate</w:t>
      </w:r>
    </w:p>
    <w:p>
      <w:r>
        <w:t>Typed memory functions as informational persistence for longer-horizon coordination: it stores not merely outcomes, but the counterparty, interaction type, affected domain, confidence, relationship context, and guardrail state under which cooperation was viable.</w:t>
      </w:r>
    </w:p>
    <w:p>
      <w:pPr>
        <w:pStyle w:val="Heading1"/>
      </w:pPr>
      <w:r>
        <w:t>4A. Framework-Edition Routing</w:t>
      </w:r>
    </w:p>
    <w:p>
      <w:r>
        <w:t>Typed relational memory belongs to informational persistence. Retrieved memory changes expectation, confidence, perceived counterpart reliability, PVS, candidate-policy visibility, and guardrail requirements.</w:t>
      </w:r>
    </w:p>
    <w:p>
      <w:r>
        <w:t>Cooperation access is not selected directly by memory. The cooperation policy must still be constructed, survive constraints and adequacy, be selected by Sigma, realized by epsilon, and successfully executed.</w:t>
      </w:r>
    </w:p>
    <w:p>
      <w:r>
        <w:t>The same nominal PP state may yield different available cooperation policies because actual access, SPV, commitments, counterparty-specific memory, and joint feasibility differ.</w:t>
      </w:r>
    </w:p>
    <w:p>
      <w:r>
        <w:t>Reserve reconstruction should distinguish immediate stabilization, SPV replenishment, PP restoration, relationship-specific confidence repair, and reopening of credible recovery corridors.</w:t>
      </w:r>
    </w:p>
    <w:p>
      <w:pPr>
        <w:pStyle w:val="Heading1"/>
      </w:pPr>
      <w:r>
        <w:t>5. Boundary against overclaiming</w:t>
      </w:r>
    </w:p>
    <w:p>
      <w:r>
        <w:t>This note does not claim that the micro-simulation validates the full PV-PP framework. The benchmark remains a bounded toy system. Its value is structural: it demonstrates why an implementation that ignores typed relational memory may miss important distinctions among guarded cooperation, bounded rehabilitation, candidate-policy suppression, and reserve reconstruction.</w:t>
      </w:r>
    </w:p>
    <w:p>
      <w:r>
        <w:t>The correct Layer 4B reading is exploratory: this workstream identifies a plausible extension family and supplies testable implementation hooks for memory, policy access, constraints, adequacy, and recovery. It should not be cited as a complete empirical result or as a finished canonical theorem.</w:t>
      </w:r>
    </w:p>
    <w:p>
      <w:pPr>
        <w:pStyle w:val="Heading1"/>
      </w:pPr>
      <w:r>
        <w:t>6. Recommended references from this note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ptos" w:hAnsi="Aptos"/>
              </w:rPr>
            </w:r>
            <w:r>
              <w:rPr>
                <w:rFonts w:ascii="Aptos" w:hAnsi="Aptos"/>
                <w:b/>
                <w:sz w:val="18"/>
              </w:rPr>
              <w:t>Reference destination</w:t>
            </w:r>
          </w:p>
        </w:tc>
        <w:tc>
          <w:tcPr>
            <w:tcW w:type="dxa" w:w="5040"/>
            <w:vAlign w:val="top"/>
            <w:shd w:fill="D9EAF7"/>
          </w:tcPr>
          <w:p>
            <w:r>
              <w:rPr>
                <w:rFonts w:ascii="Aptos" w:hAnsi="Aptos"/>
              </w:rPr>
            </w:r>
            <w:r>
              <w:rPr>
                <w:rFonts w:ascii="Aptos" w:hAnsi="Aptos"/>
                <w:b/>
                <w:sz w:val="18"/>
              </w:rPr>
              <w:t>Use</w:t>
            </w:r>
          </w:p>
        </w:tc>
      </w:tr>
      <w:tr>
        <w:tc>
          <w:tcPr>
            <w:tcW w:type="dxa" w:w="5040"/>
            <w:vAlign w:val="top"/>
          </w:tcPr>
          <w:p>
            <w:r>
              <w:rPr>
                <w:rFonts w:ascii="Aptos" w:hAnsi="Aptos"/>
              </w:rPr>
            </w:r>
            <w:r>
              <w:rPr>
                <w:rFonts w:ascii="Aptos" w:hAnsi="Aptos"/>
                <w:b w:val="0"/>
                <w:sz w:val="18"/>
              </w:rPr>
              <w:t>20 Stack and Layer Governance / Memory / Typed Relational Memory</w:t>
            </w:r>
          </w:p>
        </w:tc>
        <w:tc>
          <w:tcPr>
            <w:tcW w:type="dxa" w:w="5040"/>
            <w:vAlign w:val="top"/>
          </w:tcPr>
          <w:p>
            <w:r>
              <w:rPr>
                <w:rFonts w:ascii="Aptos" w:hAnsi="Aptos"/>
              </w:rPr>
            </w:r>
            <w:r>
              <w:rPr>
                <w:rFonts w:ascii="Aptos" w:hAnsi="Aptos"/>
                <w:b w:val="0"/>
                <w:sz w:val="18"/>
              </w:rPr>
              <w:t>Memory-governance description of typed relational memory behavior and implementation requirements; authority status depends on the current memory revision set.</w:t>
            </w:r>
          </w:p>
        </w:tc>
      </w:tr>
      <w:tr>
        <w:tc>
          <w:tcPr>
            <w:tcW w:type="dxa" w:w="5040"/>
            <w:vAlign w:val="top"/>
          </w:tcPr>
          <w:p>
            <w:r>
              <w:rPr>
                <w:rFonts w:ascii="Aptos" w:hAnsi="Aptos"/>
              </w:rPr>
            </w:r>
            <w:r>
              <w:rPr>
                <w:rFonts w:ascii="Aptos" w:hAnsi="Aptos"/>
                <w:b w:val="0"/>
                <w:sz w:val="18"/>
              </w:rPr>
              <w:t>15 Operators / Operator Supporting</w:t>
            </w:r>
          </w:p>
        </w:tc>
        <w:tc>
          <w:tcPr>
            <w:tcW w:type="dxa" w:w="5040"/>
            <w:vAlign w:val="top"/>
          </w:tcPr>
          <w:p>
            <w:r>
              <w:rPr>
                <w:rFonts w:ascii="Aptos" w:hAnsi="Aptos"/>
              </w:rPr>
            </w:r>
            <w:r>
              <w:rPr>
                <w:rFonts w:ascii="Aptos" w:hAnsi="Aptos"/>
                <w:b w:val="0"/>
                <w:sz w:val="18"/>
              </w:rPr>
              <w:t>Operator-facing note explaining how memory modifies candidate generation, constraints, adequacy, and structured selection inputs without replacing any operator.</w:t>
            </w:r>
          </w:p>
        </w:tc>
      </w:tr>
      <w:tr>
        <w:tc>
          <w:tcPr>
            <w:tcW w:type="dxa" w:w="5040"/>
            <w:vAlign w:val="top"/>
          </w:tcPr>
          <w:p>
            <w:r>
              <w:rPr>
                <w:rFonts w:ascii="Aptos" w:hAnsi="Aptos"/>
              </w:rPr>
            </w:r>
            <w:r>
              <w:rPr>
                <w:rFonts w:ascii="Aptos" w:hAnsi="Aptos"/>
                <w:b w:val="0"/>
                <w:sz w:val="18"/>
              </w:rPr>
              <w:t>30 Applications and Extensions / Simulation Benchmarks / Cooperation Access and Relational Memory</w:t>
            </w:r>
          </w:p>
        </w:tc>
        <w:tc>
          <w:tcPr>
            <w:tcW w:type="dxa" w:w="5040"/>
            <w:vAlign w:val="top"/>
          </w:tcPr>
          <w:p>
            <w:r>
              <w:rPr>
                <w:rFonts w:ascii="Aptos" w:hAnsi="Aptos"/>
              </w:rPr>
            </w:r>
            <w:r>
              <w:rPr>
                <w:rFonts w:ascii="Aptos" w:hAnsi="Aptos"/>
                <w:b w:val="0"/>
                <w:sz w:val="18"/>
              </w:rPr>
              <w:t>Benchmark files, run records, validation memos, and result interpretation.</w:t>
            </w:r>
          </w:p>
        </w:tc>
      </w:tr>
      <w:tr>
        <w:tc>
          <w:tcPr>
            <w:tcW w:type="dxa" w:w="5040"/>
            <w:vAlign w:val="top"/>
          </w:tcPr>
          <w:p>
            <w:r>
              <w:rPr>
                <w:rFonts w:ascii="Aptos" w:hAnsi="Aptos"/>
              </w:rPr>
            </w:r>
            <w:r>
              <w:rPr>
                <w:rFonts w:ascii="Aptos" w:hAnsi="Aptos"/>
                <w:b w:val="0"/>
                <w:sz w:val="18"/>
              </w:rPr>
              <w:t>30 Applications and Extensions / Layer 3</w:t>
            </w:r>
          </w:p>
        </w:tc>
        <w:tc>
          <w:tcPr>
            <w:tcW w:type="dxa" w:w="5040"/>
            <w:vAlign w:val="top"/>
          </w:tcPr>
          <w:p>
            <w:r>
              <w:rPr>
                <w:rFonts w:ascii="Aptos" w:hAnsi="Aptos"/>
              </w:rPr>
            </w:r>
            <w:r>
              <w:rPr>
                <w:rFonts w:ascii="Aptos" w:hAnsi="Aptos"/>
                <w:b w:val="0"/>
                <w:sz w:val="18"/>
              </w:rPr>
              <w:t>Applications-facing insertion note connecting the benchmark family to structured case analysis.</w:t>
            </w:r>
          </w:p>
        </w:tc>
      </w:tr>
      <w:tr>
        <w:tc>
          <w:tcPr>
            <w:tcW w:type="dxa" w:w="5040"/>
            <w:vAlign w:val="top"/>
          </w:tcPr>
          <w:p>
            <w:r>
              <w:rPr>
                <w:rFonts w:ascii="Aptos" w:hAnsi="Aptos"/>
              </w:rPr>
            </w:r>
            <w:r>
              <w:rPr>
                <w:rFonts w:ascii="Aptos" w:hAnsi="Aptos"/>
                <w:b w:val="0"/>
                <w:sz w:val="18"/>
              </w:rPr>
              <w:t>30 Applications and Extensions / Layer 4B</w:t>
            </w:r>
          </w:p>
        </w:tc>
        <w:tc>
          <w:tcPr>
            <w:tcW w:type="dxa" w:w="5040"/>
            <w:vAlign w:val="top"/>
          </w:tcPr>
          <w:p>
            <w:r>
              <w:rPr>
                <w:rFonts w:ascii="Aptos" w:hAnsi="Aptos"/>
              </w:rPr>
            </w:r>
            <w:r>
              <w:rPr>
                <w:rFonts w:ascii="Aptos" w:hAnsi="Aptos"/>
                <w:b w:val="0"/>
                <w:sz w:val="18"/>
              </w:rPr>
              <w:t>This cross-reference note, used to keep exploratory scaling implications visible.</w:t>
            </w:r>
          </w:p>
        </w:tc>
      </w:tr>
    </w:tbl>
    <w:p>
      <w:pPr>
        <w:pStyle w:val="Heading1"/>
      </w:pPr>
      <w:r>
        <w:t>7. Suggested insertion language for the Layer 4B compendium</w:t>
      </w:r>
    </w:p>
    <w:p>
      <w:r>
        <w:t>The Cooperation Access and Typed Relational Memory workstream should be read as an exploratory extension family concerning relationally conditioned policy access, guarded cooperation scaling, configuration-dependent PP, and reserve reconstruction. It shows how typed memory can preserve bounded cooperation, prevent false rehabilitation, distinguish guarded re-entry from full trust, and support post-crisis reconstruction of SPV, PP, and domain margins. The workstream should be cross-referenced to the Memory governance files, operator-supporting notes, and the simulation benchmark records under Applications and Extensions.</w:t>
      </w:r>
    </w:p>
    <w:p>
      <w:pPr>
        <w:pStyle w:val="Heading1"/>
      </w:pPr>
      <w:r>
        <w:t>8. Placement instruction</w:t>
      </w:r>
    </w:p>
    <w:p>
      <w:r>
        <w:t>Place this file in:</w:t>
      </w:r>
    </w:p>
    <w:p>
      <w:pPr/>
      <w:r>
        <w:rPr>
          <w:b/>
        </w:rPr>
        <w:t>30 Applications and Extensions / Layer 4B</w:t>
      </w:r>
    </w:p>
    <w:p>
      <w:r>
        <w:t>Do not place this in the simulation benchmark folder. The benchmark folder contains the evidence and run records. This file is the Layer 4B cross-reference marker that tells the compendium reader why the benchmark family matters for exploratory extensions and scaling fields.</w:t>
      </w:r>
    </w:p>
    <w:p>
      <w:pPr>
        <w:pStyle w:val="Heading1"/>
      </w:pPr>
      <w:r>
        <w:t>9. Authority and Supersession</w:t>
      </w:r>
    </w:p>
    <w:p>
      <w:r>
        <w:t>Version 0.2 supersedes v0.1 as the current Layer 4B cross-reference note for this benchmark family.</w:t>
      </w:r>
    </w:p>
    <w:p>
      <w:r>
        <w:t>This note remains exploratory and cross-referential. It does not supersede Layer 4B v1.3, Layer 4A v1.7, the Layer 3 insertion note, memory-governance files, operator specifications, or benchmark run records.</w:t>
      </w:r>
    </w:p>
    <w:p>
      <w:r>
        <w:t>Its controlling purpose is to preserve the scaling implications of typed relational memory without promoting benchmark-specific behavior into a universal cooperation score, relational field primitive, or new operator.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Layer 4B Cross Reference Note - Cooperation Access and Typed Relational Memory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