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PV-PP Static Tool Governance Examples v0.1</w:t>
      </w:r>
    </w:p>
    <w:p>
      <w:pPr>
        <w:jc w:val="center"/>
      </w:pPr>
      <w:r>
        <w:rPr>
          <w:i/>
          <w:sz w:val="22"/>
        </w:rPr>
        <w:t>Workstream 4: Runtime / Execution Formalization</w:t>
      </w:r>
    </w:p>
    <w:p>
      <w:r>
        <w:t>Document status: v0.1 working artifact. This document clarifies static sidecar governance examples before schema formalization.</w:t>
      </w:r>
    </w:p>
    <w:p>
      <w:r>
        <w:t>Intended folder: 40_Runtime_and_Execution_Formalization / 20_Tool_Action_Admission_Sidecar</w:t>
      </w:r>
    </w:p>
    <w:p>
      <w:pPr>
        <w:pStyle w:val="Heading1"/>
      </w:pPr>
      <w:r>
        <w:t>1. Purpose</w:t>
      </w:r>
    </w:p>
    <w:p>
      <w:r>
        <w:t>This document records the corrected phase-one implementation logic for the PV-PP Tool Action Admission Sidecar. The phase-one sidecar performs static governance only. It does not query live tool status, run a telemetry daemon, verify current availability, or inspect post-call results. It decides whether a proposed tool action is permitted in principle under the domain frame, actor authority, tool class, static constraints, evidence state, and human-review rules.</w:t>
      </w:r>
    </w:p>
    <w:p>
      <w:r>
        <w:t>The key design question is not whether a tool can technically execute. The question is whether use of that tool for this action would preserve the relevant Productive Power domains. A printer can print, but it may still be disallowed for a given document if its location, access model, confidentiality posture, physical distance, or output handling violates domain constraints.</w:t>
      </w:r>
    </w:p>
    <w:p>
      <w:pPr>
        <w:pStyle w:val="Heading1"/>
      </w:pPr>
      <w:r>
        <w:t>2. Static Governance Rule</w:t>
      </w:r>
    </w:p>
    <w:p>
      <w:r>
        <w:t>Static sidecar governance evaluates stable or declared facts about the actor, action, tool, context, and domain frame. It does not evaluate current operational state.</w:t>
      </w:r>
    </w:p>
    <w:tbl>
      <w:tblPr>
        <w:tblStyle w:val="TableGrid"/>
        <w:tblW w:type="auto" w:w="0"/>
        <w:jc w:val="center"/>
        <w:tblLook w:firstColumn="1" w:firstRow="1" w:lastColumn="0" w:lastRow="0" w:noHBand="0" w:noVBand="1" w:val="04A0"/>
      </w:tblPr>
      <w:tblGrid>
        <w:gridCol w:w="5040"/>
        <w:gridCol w:w="5040"/>
      </w:tblGrid>
      <w:tr>
        <w:tc>
          <w:tcPr>
            <w:tcW w:type="dxa" w:w="4464"/>
            <w:shd w:fill="D9EAF7"/>
            <w:vAlign w:val="center"/>
          </w:tcPr>
          <w:p>
            <w:r/>
            <w:r>
              <w:rPr>
                <w:b/>
                <w:sz w:val="18"/>
              </w:rPr>
              <w:t>Static sidecar may govern</w:t>
            </w:r>
          </w:p>
        </w:tc>
        <w:tc>
          <w:tcPr>
            <w:tcW w:type="dxa" w:w="4464"/>
            <w:shd w:fill="D9EAF7"/>
            <w:vAlign w:val="center"/>
          </w:tcPr>
          <w:p>
            <w:r/>
            <w:r>
              <w:rPr>
                <w:b/>
                <w:sz w:val="18"/>
              </w:rPr>
              <w:t>Static sidecar does not govern</w:t>
            </w:r>
          </w:p>
        </w:tc>
      </w:tr>
      <w:tr>
        <w:tc>
          <w:tcPr>
            <w:tcW w:type="dxa" w:w="4464"/>
            <w:vAlign w:val="top"/>
          </w:tcPr>
          <w:p>
            <w:r/>
            <w:r>
              <w:rPr>
                <w:b w:val="0"/>
                <w:sz w:val="18"/>
              </w:rPr>
              <w:t>Actor authority and role</w:t>
            </w:r>
          </w:p>
        </w:tc>
        <w:tc>
          <w:tcPr>
            <w:tcW w:type="dxa" w:w="4464"/>
            <w:vAlign w:val="top"/>
          </w:tcPr>
          <w:p>
            <w:r/>
            <w:r>
              <w:rPr>
                <w:b w:val="0"/>
                <w:sz w:val="18"/>
              </w:rPr>
              <w:t>Current online/offline status</w:t>
            </w:r>
          </w:p>
        </w:tc>
      </w:tr>
      <w:tr>
        <w:tc>
          <w:tcPr>
            <w:tcW w:type="dxa" w:w="4464"/>
            <w:vAlign w:val="top"/>
          </w:tcPr>
          <w:p>
            <w:r/>
            <w:r>
              <w:rPr>
                <w:b w:val="0"/>
                <w:sz w:val="18"/>
              </w:rPr>
              <w:t>Tool class and approved use</w:t>
            </w:r>
          </w:p>
        </w:tc>
        <w:tc>
          <w:tcPr>
            <w:tcW w:type="dxa" w:w="4464"/>
            <w:vAlign w:val="top"/>
          </w:tcPr>
          <w:p>
            <w:r/>
            <w:r>
              <w:rPr>
                <w:b w:val="0"/>
                <w:sz w:val="18"/>
              </w:rPr>
              <w:t>Ink, paper, battery, queue depth, API quota, or current load</w:t>
            </w:r>
          </w:p>
        </w:tc>
      </w:tr>
      <w:tr>
        <w:tc>
          <w:tcPr>
            <w:tcW w:type="dxa" w:w="4464"/>
            <w:vAlign w:val="top"/>
          </w:tcPr>
          <w:p>
            <w:r/>
            <w:r>
              <w:rPr>
                <w:b w:val="0"/>
                <w:sz w:val="18"/>
              </w:rPr>
              <w:t>Location class and access class</w:t>
            </w:r>
          </w:p>
        </w:tc>
        <w:tc>
          <w:tcPr>
            <w:tcW w:type="dxa" w:w="4464"/>
            <w:vAlign w:val="top"/>
          </w:tcPr>
          <w:p>
            <w:r/>
            <w:r>
              <w:rPr>
                <w:b w:val="0"/>
                <w:sz w:val="18"/>
              </w:rPr>
              <w:t>Live failure, timeout, jam, or partial execution</w:t>
            </w:r>
          </w:p>
        </w:tc>
      </w:tr>
      <w:tr>
        <w:tc>
          <w:tcPr>
            <w:tcW w:type="dxa" w:w="4464"/>
            <w:vAlign w:val="top"/>
          </w:tcPr>
          <w:p>
            <w:r/>
            <w:r>
              <w:rPr>
                <w:b w:val="0"/>
                <w:sz w:val="18"/>
              </w:rPr>
              <w:t>Document sensitivity and output handling rules</w:t>
            </w:r>
          </w:p>
        </w:tc>
        <w:tc>
          <w:tcPr>
            <w:tcW w:type="dxa" w:w="4464"/>
            <w:vAlign w:val="top"/>
          </w:tcPr>
          <w:p>
            <w:r/>
            <w:r>
              <w:rPr>
                <w:b w:val="0"/>
                <w:sz w:val="18"/>
              </w:rPr>
              <w:t>Post-call result correctness</w:t>
            </w:r>
          </w:p>
        </w:tc>
      </w:tr>
      <w:tr>
        <w:tc>
          <w:tcPr>
            <w:tcW w:type="dxa" w:w="4464"/>
            <w:vAlign w:val="top"/>
          </w:tcPr>
          <w:p>
            <w:r/>
            <w:r>
              <w:rPr>
                <w:b w:val="0"/>
                <w:sz w:val="18"/>
              </w:rPr>
              <w:t>Human-review or finalization restrictions</w:t>
            </w:r>
          </w:p>
        </w:tc>
        <w:tc>
          <w:tcPr>
            <w:tcW w:type="dxa" w:w="4464"/>
            <w:vAlign w:val="top"/>
          </w:tcPr>
          <w:p>
            <w:r/>
            <w:r>
              <w:rPr>
                <w:b w:val="0"/>
                <w:sz w:val="18"/>
              </w:rPr>
              <w:t>Dynamic routing based on current availability</w:t>
            </w:r>
          </w:p>
        </w:tc>
      </w:tr>
      <w:tr>
        <w:tc>
          <w:tcPr>
            <w:tcW w:type="dxa" w:w="4464"/>
            <w:vAlign w:val="top"/>
          </w:tcPr>
          <w:p>
            <w:r/>
            <w:r>
              <w:rPr>
                <w:b w:val="0"/>
                <w:sz w:val="18"/>
              </w:rPr>
              <w:t>Reversibility and downstream reliance risk</w:t>
            </w:r>
          </w:p>
        </w:tc>
        <w:tc>
          <w:tcPr>
            <w:tcW w:type="dxa" w:w="4464"/>
            <w:vAlign w:val="top"/>
          </w:tcPr>
          <w:p>
            <w:r/>
            <w:r>
              <w:rPr>
                <w:b w:val="0"/>
                <w:sz w:val="18"/>
              </w:rPr>
              <w:t>Runtime completion verification</w:t>
            </w:r>
          </w:p>
        </w:tc>
      </w:tr>
    </w:tbl>
    <w:p/>
    <w:p>
      <w:r>
        <w:t>If real runtime feedback is required, the architecture must move to a later inline runtime/proxy phase in which PV-PP sits in the live path between the agent and the tool. There is no scalable phase-one shortcut that gives dynamic feedback without runtime integration overhead.</w:t>
      </w:r>
    </w:p>
    <w:p>
      <w:pPr>
        <w:pStyle w:val="Heading1"/>
      </w:pPr>
      <w:r>
        <w:t>3. Example A: Static Printer Governance</w:t>
      </w:r>
    </w:p>
    <w:p>
      <w:r>
        <w:t>The printer example is useful because it separates tool capability from tool admissibility. The printer may be technically capable of printing, but the PV-PP sidecar may still deny or limit use because the proposed print action violates static domain constraints.</w:t>
      </w:r>
    </w:p>
    <w:p>
      <w:pPr>
        <w:pStyle w:val="Heading2"/>
      </w:pPr>
      <w:r>
        <w:t>3.1 Productive Power Domains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r/>
            <w:r>
              <w:rPr>
                <w:b/>
                <w:sz w:val="18"/>
              </w:rPr>
              <w:t>Domain</w:t>
            </w:r>
          </w:p>
        </w:tc>
        <w:tc>
          <w:tcPr>
            <w:tcW w:type="dxa" w:w="3168"/>
            <w:shd w:fill="D9EAF7"/>
            <w:vAlign w:val="center"/>
          </w:tcPr>
          <w:p>
            <w:r/>
            <w:r>
              <w:rPr>
                <w:b/>
                <w:sz w:val="18"/>
              </w:rPr>
              <w:t>Static concern</w:t>
            </w:r>
          </w:p>
        </w:tc>
        <w:tc>
          <w:tcPr>
            <w:tcW w:type="dxa" w:w="4320"/>
            <w:shd w:fill="D9EAF7"/>
            <w:vAlign w:val="center"/>
          </w:tcPr>
          <w:p>
            <w:r/>
            <w:r>
              <w:rPr>
                <w:b/>
                <w:sz w:val="18"/>
              </w:rPr>
              <w:t>Constraint examples</w:t>
            </w:r>
          </w:p>
        </w:tc>
      </w:tr>
      <w:tr>
        <w:tc>
          <w:tcPr>
            <w:tcW w:type="dxa" w:w="2160"/>
            <w:vAlign w:val="top"/>
          </w:tcPr>
          <w:p>
            <w:r/>
            <w:r>
              <w:rPr>
                <w:b w:val="0"/>
                <w:sz w:val="18"/>
              </w:rPr>
              <w:t>Confidentiality / privacy</w:t>
            </w:r>
          </w:p>
        </w:tc>
        <w:tc>
          <w:tcPr>
            <w:tcW w:type="dxa" w:w="3168"/>
            <w:vAlign w:val="top"/>
          </w:tcPr>
          <w:p>
            <w:r/>
            <w:r>
              <w:rPr>
                <w:b w:val="0"/>
                <w:sz w:val="18"/>
              </w:rPr>
              <w:t>Printed material may expose protected, confidential, financial, legal, HR, student, patient, or institutional information.</w:t>
            </w:r>
          </w:p>
        </w:tc>
        <w:tc>
          <w:tcPr>
            <w:tcW w:type="dxa" w:w="4320"/>
            <w:vAlign w:val="top"/>
          </w:tcPr>
          <w:p>
            <w:r/>
            <w:r>
              <w:rPr>
                <w:b w:val="0"/>
                <w:sz w:val="18"/>
              </w:rPr>
              <w:t>Confidential documents may only be routed to printers in controlled-access areas; secure-release printing may be required; public or hallway printers are disallowed.</w:t>
            </w:r>
          </w:p>
        </w:tc>
      </w:tr>
      <w:tr>
        <w:tc>
          <w:tcPr>
            <w:tcW w:type="dxa" w:w="2160"/>
            <w:vAlign w:val="top"/>
          </w:tcPr>
          <w:p>
            <w:r/>
            <w:r>
              <w:rPr>
                <w:b w:val="0"/>
                <w:sz w:val="18"/>
              </w:rPr>
              <w:t>Physical custody / output control</w:t>
            </w:r>
          </w:p>
        </w:tc>
        <w:tc>
          <w:tcPr>
            <w:tcW w:type="dxa" w:w="3168"/>
            <w:vAlign w:val="top"/>
          </w:tcPr>
          <w:p>
            <w:r/>
            <w:r>
              <w:rPr>
                <w:b w:val="0"/>
                <w:sz w:val="18"/>
              </w:rPr>
              <w:t>Printed pages create a physical artifact that may be seen, taken, misplaced, or mixed with other jobs.</w:t>
            </w:r>
          </w:p>
        </w:tc>
        <w:tc>
          <w:tcPr>
            <w:tcW w:type="dxa" w:w="4320"/>
            <w:vAlign w:val="top"/>
          </w:tcPr>
          <w:p>
            <w:r/>
            <w:r>
              <w:rPr>
                <w:b w:val="0"/>
                <w:sz w:val="18"/>
              </w:rPr>
              <w:t>Printer must be within the requester’s controlled work area or assigned department; unattended output trays may be disallowed for sensitive material.</w:t>
            </w:r>
          </w:p>
        </w:tc>
      </w:tr>
      <w:tr>
        <w:tc>
          <w:tcPr>
            <w:tcW w:type="dxa" w:w="2160"/>
            <w:vAlign w:val="top"/>
          </w:tcPr>
          <w:p>
            <w:r/>
            <w:r>
              <w:rPr>
                <w:b w:val="0"/>
                <w:sz w:val="18"/>
              </w:rPr>
              <w:t>Operational practicality</w:t>
            </w:r>
          </w:p>
        </w:tc>
        <w:tc>
          <w:tcPr>
            <w:tcW w:type="dxa" w:w="3168"/>
            <w:vAlign w:val="top"/>
          </w:tcPr>
          <w:p>
            <w:r/>
            <w:r>
              <w:rPr>
                <w:b w:val="0"/>
                <w:sz w:val="18"/>
              </w:rPr>
              <w:t>A technically valid tool may be impractical because collection is too remote or disruptive.</w:t>
            </w:r>
          </w:p>
        </w:tc>
        <w:tc>
          <w:tcPr>
            <w:tcW w:type="dxa" w:w="4320"/>
            <w:vAlign w:val="top"/>
          </w:tcPr>
          <w:p>
            <w:r/>
            <w:r>
              <w:rPr>
                <w:b w:val="0"/>
                <w:sz w:val="18"/>
              </w:rPr>
              <w:t>Printer in another building may be disallowed for routine internal jobs; printer down the road is outside the viable operating corridor.</w:t>
            </w:r>
          </w:p>
        </w:tc>
      </w:tr>
      <w:tr>
        <w:tc>
          <w:tcPr>
            <w:tcW w:type="dxa" w:w="2160"/>
            <w:vAlign w:val="top"/>
          </w:tcPr>
          <w:p>
            <w:r/>
            <w:r>
              <w:rPr>
                <w:b w:val="0"/>
                <w:sz w:val="18"/>
              </w:rPr>
              <w:t>Role / authority</w:t>
            </w:r>
          </w:p>
        </w:tc>
        <w:tc>
          <w:tcPr>
            <w:tcW w:type="dxa" w:w="3168"/>
            <w:vAlign w:val="top"/>
          </w:tcPr>
          <w:p>
            <w:r/>
            <w:r>
              <w:rPr>
                <w:b w:val="0"/>
                <w:sz w:val="18"/>
              </w:rPr>
              <w:t>Not every actor may print every class of material.</w:t>
            </w:r>
          </w:p>
        </w:tc>
        <w:tc>
          <w:tcPr>
            <w:tcW w:type="dxa" w:w="4320"/>
            <w:vAlign w:val="top"/>
          </w:tcPr>
          <w:p>
            <w:r/>
            <w:r>
              <w:rPr>
                <w:b w:val="0"/>
                <w:sz w:val="18"/>
              </w:rPr>
              <w:t>Agent may prepare print-ready packet but cannot print legal, HR, medical, or financial documents unless the user role permits physical output.</w:t>
            </w:r>
          </w:p>
        </w:tc>
      </w:tr>
      <w:tr>
        <w:tc>
          <w:tcPr>
            <w:tcW w:type="dxa" w:w="2160"/>
            <w:vAlign w:val="top"/>
          </w:tcPr>
          <w:p>
            <w:r/>
            <w:r>
              <w:rPr>
                <w:b w:val="0"/>
                <w:sz w:val="18"/>
              </w:rPr>
              <w:t>Cost and resource discipline</w:t>
            </w:r>
          </w:p>
        </w:tc>
        <w:tc>
          <w:tcPr>
            <w:tcW w:type="dxa" w:w="3168"/>
            <w:vAlign w:val="top"/>
          </w:tcPr>
          <w:p>
            <w:r/>
            <w:r>
              <w:rPr>
                <w:b w:val="0"/>
                <w:sz w:val="18"/>
              </w:rPr>
              <w:t>Large or unnecessary print jobs may consume institutional resources.</w:t>
            </w:r>
          </w:p>
        </w:tc>
        <w:tc>
          <w:tcPr>
            <w:tcW w:type="dxa" w:w="4320"/>
            <w:vAlign w:val="top"/>
          </w:tcPr>
          <w:p>
            <w:r/>
            <w:r>
              <w:rPr>
                <w:b w:val="0"/>
                <w:sz w:val="18"/>
              </w:rPr>
              <w:t>Large jobs require duplex mode, black-and-white mode, departmental printer, or human approval above a page threshold.</w:t>
            </w:r>
          </w:p>
        </w:tc>
      </w:tr>
      <w:tr>
        <w:tc>
          <w:tcPr>
            <w:tcW w:type="dxa" w:w="2160"/>
            <w:vAlign w:val="top"/>
          </w:tcPr>
          <w:p>
            <w:r/>
            <w:r>
              <w:rPr>
                <w:b w:val="0"/>
                <w:sz w:val="18"/>
              </w:rPr>
              <w:t>Compliance / record handling</w:t>
            </w:r>
          </w:p>
        </w:tc>
        <w:tc>
          <w:tcPr>
            <w:tcW w:type="dxa" w:w="3168"/>
            <w:vAlign w:val="top"/>
          </w:tcPr>
          <w:p>
            <w:r/>
            <w:r>
              <w:rPr>
                <w:b w:val="0"/>
                <w:sz w:val="18"/>
              </w:rPr>
              <w:t>Some documents must not be physically printed, or printed copies must be controlled.</w:t>
            </w:r>
          </w:p>
        </w:tc>
        <w:tc>
          <w:tcPr>
            <w:tcW w:type="dxa" w:w="4320"/>
            <w:vAlign w:val="top"/>
          </w:tcPr>
          <w:p>
            <w:r/>
            <w:r>
              <w:rPr>
                <w:b w:val="0"/>
                <w:sz w:val="18"/>
              </w:rPr>
              <w:t>Records marked electronic-only, draft-only, or retention-sensitive may be blocked from printing.</w:t>
            </w:r>
          </w:p>
        </w:tc>
      </w:tr>
      <w:tr>
        <w:tc>
          <w:tcPr>
            <w:tcW w:type="dxa" w:w="2160"/>
            <w:vAlign w:val="top"/>
          </w:tcPr>
          <w:p>
            <w:r/>
            <w:r>
              <w:rPr>
                <w:b w:val="0"/>
                <w:sz w:val="18"/>
              </w:rPr>
              <w:t>Security classification</w:t>
            </w:r>
          </w:p>
        </w:tc>
        <w:tc>
          <w:tcPr>
            <w:tcW w:type="dxa" w:w="3168"/>
            <w:vAlign w:val="top"/>
          </w:tcPr>
          <w:p>
            <w:r/>
            <w:r>
              <w:rPr>
                <w:b w:val="0"/>
                <w:sz w:val="18"/>
              </w:rPr>
              <w:t>Some printers are not approved for certain data classes.</w:t>
            </w:r>
          </w:p>
        </w:tc>
        <w:tc>
          <w:tcPr>
            <w:tcW w:type="dxa" w:w="4320"/>
            <w:vAlign w:val="top"/>
          </w:tcPr>
          <w:p>
            <w:r/>
            <w:r>
              <w:rPr>
                <w:b w:val="0"/>
                <w:sz w:val="18"/>
              </w:rPr>
              <w:t>Public printers cannot receive restricted, confidential, or legally controlled documents.</w:t>
            </w:r>
          </w:p>
        </w:tc>
      </w:tr>
      <w:tr>
        <w:tc>
          <w:tcPr>
            <w:tcW w:type="dxa" w:w="2160"/>
            <w:vAlign w:val="top"/>
          </w:tcPr>
          <w:p>
            <w:r/>
            <w:r>
              <w:rPr>
                <w:b w:val="0"/>
                <w:sz w:val="18"/>
              </w:rPr>
              <w:t>Human oversight</w:t>
            </w:r>
          </w:p>
        </w:tc>
        <w:tc>
          <w:tcPr>
            <w:tcW w:type="dxa" w:w="3168"/>
            <w:vAlign w:val="top"/>
          </w:tcPr>
          <w:p>
            <w:r/>
            <w:r>
              <w:rPr>
                <w:b w:val="0"/>
                <w:sz w:val="18"/>
              </w:rPr>
              <w:t>Printing may create de facto finalization or distribution.</w:t>
            </w:r>
          </w:p>
        </w:tc>
        <w:tc>
          <w:tcPr>
            <w:tcW w:type="dxa" w:w="4320"/>
            <w:vAlign w:val="top"/>
          </w:tcPr>
          <w:p>
            <w:r/>
            <w:r>
              <w:rPr>
                <w:b w:val="0"/>
                <w:sz w:val="18"/>
              </w:rPr>
              <w:t>Draft may be printed for review; final packet, signature copy, or submission copy may require human review first.</w:t>
            </w:r>
          </w:p>
        </w:tc>
      </w:tr>
    </w:tbl>
    <w:p/>
    <w:p>
      <w:pPr>
        <w:pStyle w:val="Heading2"/>
      </w:pPr>
      <w:r>
        <w:t>3.2 Static Printer Decision Rules</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D9EAF7"/>
            <w:vAlign w:val="center"/>
          </w:tcPr>
          <w:p>
            <w:r/>
            <w:r>
              <w:rPr>
                <w:b/>
                <w:sz w:val="18"/>
              </w:rPr>
              <w:t>Proposed print action</w:t>
            </w:r>
          </w:p>
        </w:tc>
        <w:tc>
          <w:tcPr>
            <w:tcW w:type="dxa" w:w="2160"/>
            <w:shd w:fill="D9EAF7"/>
            <w:vAlign w:val="center"/>
          </w:tcPr>
          <w:p>
            <w:r/>
            <w:r>
              <w:rPr>
                <w:b/>
                <w:sz w:val="18"/>
              </w:rPr>
              <w:t>Static sidecar decision</w:t>
            </w:r>
          </w:p>
        </w:tc>
        <w:tc>
          <w:tcPr>
            <w:tcW w:type="dxa" w:w="3888"/>
            <w:shd w:fill="D9EAF7"/>
            <w:vAlign w:val="center"/>
          </w:tcPr>
          <w:p>
            <w:r/>
            <w:r>
              <w:rPr>
                <w:b/>
                <w:sz w:val="18"/>
              </w:rPr>
              <w:t>Reason</w:t>
            </w:r>
          </w:p>
        </w:tc>
      </w:tr>
      <w:tr>
        <w:tc>
          <w:tcPr>
            <w:tcW w:type="dxa" w:w="3456"/>
            <w:vAlign w:val="top"/>
          </w:tcPr>
          <w:p>
            <w:r/>
            <w:r>
              <w:rPr>
                <w:b w:val="0"/>
                <w:sz w:val="18"/>
              </w:rPr>
              <w:t>Print confidential reimbursement packet to public hallway printer.</w:t>
            </w:r>
          </w:p>
        </w:tc>
        <w:tc>
          <w:tcPr>
            <w:tcW w:type="dxa" w:w="2160"/>
            <w:vAlign w:val="top"/>
          </w:tcPr>
          <w:p>
            <w:r/>
            <w:r>
              <w:rPr>
                <w:b w:val="0"/>
                <w:sz w:val="18"/>
              </w:rPr>
              <w:t>DENY or REROUTE</w:t>
            </w:r>
          </w:p>
        </w:tc>
        <w:tc>
          <w:tcPr>
            <w:tcW w:type="dxa" w:w="3888"/>
            <w:vAlign w:val="top"/>
          </w:tcPr>
          <w:p>
            <w:r/>
            <w:r>
              <w:rPr>
                <w:b w:val="0"/>
                <w:sz w:val="18"/>
              </w:rPr>
              <w:t>Confidentiality and physical custody domains fail. Printer location/access class is unsuitable.</w:t>
            </w:r>
          </w:p>
        </w:tc>
      </w:tr>
      <w:tr>
        <w:tc>
          <w:tcPr>
            <w:tcW w:type="dxa" w:w="3456"/>
            <w:vAlign w:val="top"/>
          </w:tcPr>
          <w:p>
            <w:r/>
            <w:r>
              <w:rPr>
                <w:b w:val="0"/>
                <w:sz w:val="18"/>
              </w:rPr>
              <w:t>Print confidential packet to office printer in a locked finance suite.</w:t>
            </w:r>
          </w:p>
        </w:tc>
        <w:tc>
          <w:tcPr>
            <w:tcW w:type="dxa" w:w="2160"/>
            <w:vAlign w:val="top"/>
          </w:tcPr>
          <w:p>
            <w:r/>
            <w:r>
              <w:rPr>
                <w:b w:val="0"/>
                <w:sz w:val="18"/>
              </w:rPr>
              <w:t>ALLOW_WITH_LIMITS</w:t>
            </w:r>
          </w:p>
        </w:tc>
        <w:tc>
          <w:tcPr>
            <w:tcW w:type="dxa" w:w="3888"/>
            <w:vAlign w:val="top"/>
          </w:tcPr>
          <w:p>
            <w:r/>
            <w:r>
              <w:rPr>
                <w:b w:val="0"/>
                <w:sz w:val="18"/>
              </w:rPr>
              <w:t>Allowed only if actor has authority and output is collected promptly; may require secure release or human confirmation.</w:t>
            </w:r>
          </w:p>
        </w:tc>
      </w:tr>
      <w:tr>
        <w:tc>
          <w:tcPr>
            <w:tcW w:type="dxa" w:w="3456"/>
            <w:vAlign w:val="top"/>
          </w:tcPr>
          <w:p>
            <w:r/>
            <w:r>
              <w:rPr>
                <w:b w:val="0"/>
                <w:sz w:val="18"/>
              </w:rPr>
              <w:t>Print routine non-confidential agenda to nearby departmental printer.</w:t>
            </w:r>
          </w:p>
        </w:tc>
        <w:tc>
          <w:tcPr>
            <w:tcW w:type="dxa" w:w="2160"/>
            <w:vAlign w:val="top"/>
          </w:tcPr>
          <w:p>
            <w:r/>
            <w:r>
              <w:rPr>
                <w:b w:val="0"/>
                <w:sz w:val="18"/>
              </w:rPr>
              <w:t>ALLOW</w:t>
            </w:r>
          </w:p>
        </w:tc>
        <w:tc>
          <w:tcPr>
            <w:tcW w:type="dxa" w:w="3888"/>
            <w:vAlign w:val="top"/>
          </w:tcPr>
          <w:p>
            <w:r/>
            <w:r>
              <w:rPr>
                <w:b w:val="0"/>
                <w:sz w:val="18"/>
              </w:rPr>
              <w:t>No confidentiality issue; location and output control are within corridor.</w:t>
            </w:r>
          </w:p>
        </w:tc>
      </w:tr>
      <w:tr>
        <w:tc>
          <w:tcPr>
            <w:tcW w:type="dxa" w:w="3456"/>
            <w:vAlign w:val="top"/>
          </w:tcPr>
          <w:p>
            <w:r/>
            <w:r>
              <w:rPr>
                <w:b w:val="0"/>
                <w:sz w:val="18"/>
              </w:rPr>
              <w:t>Print packet to printer in another building.</w:t>
            </w:r>
          </w:p>
        </w:tc>
        <w:tc>
          <w:tcPr>
            <w:tcW w:type="dxa" w:w="2160"/>
            <w:vAlign w:val="top"/>
          </w:tcPr>
          <w:p>
            <w:r/>
            <w:r>
              <w:rPr>
                <w:b w:val="0"/>
                <w:sz w:val="18"/>
              </w:rPr>
              <w:t>DENY or REROUTE</w:t>
            </w:r>
          </w:p>
        </w:tc>
        <w:tc>
          <w:tcPr>
            <w:tcW w:type="dxa" w:w="3888"/>
            <w:vAlign w:val="top"/>
          </w:tcPr>
          <w:p>
            <w:r/>
            <w:r>
              <w:rPr>
                <w:b w:val="0"/>
                <w:sz w:val="18"/>
              </w:rPr>
              <w:t>Operational practicality domain fails unless there is a declared institutional reason. Physical proximity constraint is violated.</w:t>
            </w:r>
          </w:p>
        </w:tc>
      </w:tr>
      <w:tr>
        <w:tc>
          <w:tcPr>
            <w:tcW w:type="dxa" w:w="3456"/>
            <w:vAlign w:val="top"/>
          </w:tcPr>
          <w:p>
            <w:r/>
            <w:r>
              <w:rPr>
                <w:b w:val="0"/>
                <w:sz w:val="18"/>
              </w:rPr>
              <w:t>Print packet to offsite printer down the road.</w:t>
            </w:r>
          </w:p>
        </w:tc>
        <w:tc>
          <w:tcPr>
            <w:tcW w:type="dxa" w:w="2160"/>
            <w:vAlign w:val="top"/>
          </w:tcPr>
          <w:p>
            <w:r/>
            <w:r>
              <w:rPr>
                <w:b w:val="0"/>
                <w:sz w:val="18"/>
              </w:rPr>
              <w:t>DENY</w:t>
            </w:r>
          </w:p>
        </w:tc>
        <w:tc>
          <w:tcPr>
            <w:tcW w:type="dxa" w:w="3888"/>
            <w:vAlign w:val="top"/>
          </w:tcPr>
          <w:p>
            <w:r/>
            <w:r>
              <w:rPr>
                <w:b w:val="0"/>
                <w:sz w:val="18"/>
              </w:rPr>
              <w:t>Outside static location corridor; custody and operational practicality fail.</w:t>
            </w:r>
          </w:p>
        </w:tc>
      </w:tr>
      <w:tr>
        <w:tc>
          <w:tcPr>
            <w:tcW w:type="dxa" w:w="3456"/>
            <w:vAlign w:val="top"/>
          </w:tcPr>
          <w:p>
            <w:r/>
            <w:r>
              <w:rPr>
                <w:b w:val="0"/>
                <w:sz w:val="18"/>
              </w:rPr>
              <w:t>Print 300-page packet without user confirmation.</w:t>
            </w:r>
          </w:p>
        </w:tc>
        <w:tc>
          <w:tcPr>
            <w:tcW w:type="dxa" w:w="2160"/>
            <w:vAlign w:val="top"/>
          </w:tcPr>
          <w:p>
            <w:r/>
            <w:r>
              <w:rPr>
                <w:b w:val="0"/>
                <w:sz w:val="18"/>
              </w:rPr>
              <w:t>REQUIRE_HUMAN_REVIEW or ALLOW_WITH_LIMITS</w:t>
            </w:r>
          </w:p>
        </w:tc>
        <w:tc>
          <w:tcPr>
            <w:tcW w:type="dxa" w:w="3888"/>
            <w:vAlign w:val="top"/>
          </w:tcPr>
          <w:p>
            <w:r/>
            <w:r>
              <w:rPr>
                <w:b w:val="0"/>
                <w:sz w:val="18"/>
              </w:rPr>
              <w:t>Resource discipline and downstream reliance risk. Sidecar may require duplex, page-range reduction, or confirmation.</w:t>
            </w:r>
          </w:p>
        </w:tc>
      </w:tr>
      <w:tr>
        <w:tc>
          <w:tcPr>
            <w:tcW w:type="dxa" w:w="3456"/>
            <w:vAlign w:val="top"/>
          </w:tcPr>
          <w:p>
            <w:r/>
            <w:r>
              <w:rPr>
                <w:b w:val="0"/>
                <w:sz w:val="18"/>
              </w:rPr>
              <w:t>Print final approval copy before reviewer has approved packet.</w:t>
            </w:r>
          </w:p>
        </w:tc>
        <w:tc>
          <w:tcPr>
            <w:tcW w:type="dxa" w:w="2160"/>
            <w:vAlign w:val="top"/>
          </w:tcPr>
          <w:p>
            <w:r/>
            <w:r>
              <w:rPr>
                <w:b w:val="0"/>
                <w:sz w:val="18"/>
              </w:rPr>
              <w:t>DENY or REQUIRE_HUMAN_REVIEW</w:t>
            </w:r>
          </w:p>
        </w:tc>
        <w:tc>
          <w:tcPr>
            <w:tcW w:type="dxa" w:w="3888"/>
            <w:vAlign w:val="top"/>
          </w:tcPr>
          <w:p>
            <w:r/>
            <w:r>
              <w:rPr>
                <w:b w:val="0"/>
                <w:sz w:val="18"/>
              </w:rPr>
              <w:t>Printing would imply finalization or create unauthorized closure.</w:t>
            </w:r>
          </w:p>
        </w:tc>
      </w:tr>
      <w:tr>
        <w:tc>
          <w:tcPr>
            <w:tcW w:type="dxa" w:w="3456"/>
            <w:vAlign w:val="top"/>
          </w:tcPr>
          <w:p>
            <w:r/>
            <w:r>
              <w:rPr>
                <w:b w:val="0"/>
                <w:sz w:val="18"/>
              </w:rPr>
              <w:t>Print draft packet labeled “draft - for review only.”</w:t>
            </w:r>
          </w:p>
        </w:tc>
        <w:tc>
          <w:tcPr>
            <w:tcW w:type="dxa" w:w="2160"/>
            <w:vAlign w:val="top"/>
          </w:tcPr>
          <w:p>
            <w:r/>
            <w:r>
              <w:rPr>
                <w:b w:val="0"/>
                <w:sz w:val="18"/>
              </w:rPr>
              <w:t>ALLOW_WITH_LIMITS</w:t>
            </w:r>
          </w:p>
        </w:tc>
        <w:tc>
          <w:tcPr>
            <w:tcW w:type="dxa" w:w="3888"/>
            <w:vAlign w:val="top"/>
          </w:tcPr>
          <w:p>
            <w:r/>
            <w:r>
              <w:rPr>
                <w:b w:val="0"/>
                <w:sz w:val="18"/>
              </w:rPr>
              <w:t>Output allowed only if marked as draft and not treated as submission-ready.</w:t>
            </w:r>
          </w:p>
        </w:tc>
      </w:tr>
    </w:tbl>
    <w:p/>
    <w:p>
      <w:r>
        <w:t>Static printer governance therefore has real decision value even without live status. It can route away from inappropriate printers, block unauthorized output, downgrade final output to draft output, require human review, and enforce physical custody constraints.</w:t>
      </w:r>
    </w:p>
    <w:p>
      <w:pPr>
        <w:pStyle w:val="Heading1"/>
      </w:pPr>
      <w:r>
        <w:t>4. Example B: Static Travel Agent Governance</w:t>
      </w:r>
    </w:p>
    <w:p>
      <w:r>
        <w:t>The travel-agent example is another strong phase-one case because many meaningful constraints are static or policy-based. The sidecar does not need live airline inventory to decide that some proposed actions are outside authority, policy, or domain corridors.</w:t>
      </w:r>
    </w:p>
    <w:p>
      <w:pPr>
        <w:pStyle w:val="Heading2"/>
      </w:pPr>
      <w:r>
        <w:t>4.1 Productive Power Domains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r/>
            <w:r>
              <w:rPr>
                <w:b/>
                <w:sz w:val="18"/>
              </w:rPr>
              <w:t>Domain</w:t>
            </w:r>
          </w:p>
        </w:tc>
        <w:tc>
          <w:tcPr>
            <w:tcW w:type="dxa" w:w="3168"/>
            <w:shd w:fill="D9EAF7"/>
            <w:vAlign w:val="center"/>
          </w:tcPr>
          <w:p>
            <w:r/>
            <w:r>
              <w:rPr>
                <w:b/>
                <w:sz w:val="18"/>
              </w:rPr>
              <w:t>Static concern</w:t>
            </w:r>
          </w:p>
        </w:tc>
        <w:tc>
          <w:tcPr>
            <w:tcW w:type="dxa" w:w="4320"/>
            <w:shd w:fill="D9EAF7"/>
            <w:vAlign w:val="center"/>
          </w:tcPr>
          <w:p>
            <w:r/>
            <w:r>
              <w:rPr>
                <w:b/>
                <w:sz w:val="18"/>
              </w:rPr>
              <w:t>Constraint examples</w:t>
            </w:r>
          </w:p>
        </w:tc>
      </w:tr>
      <w:tr>
        <w:tc>
          <w:tcPr>
            <w:tcW w:type="dxa" w:w="2160"/>
            <w:vAlign w:val="top"/>
          </w:tcPr>
          <w:p>
            <w:r/>
            <w:r>
              <w:rPr>
                <w:b w:val="0"/>
                <w:sz w:val="18"/>
              </w:rPr>
              <w:t>Financial integrity</w:t>
            </w:r>
          </w:p>
        </w:tc>
        <w:tc>
          <w:tcPr>
            <w:tcW w:type="dxa" w:w="3168"/>
            <w:vAlign w:val="top"/>
          </w:tcPr>
          <w:p>
            <w:r/>
            <w:r>
              <w:rPr>
                <w:b w:val="0"/>
                <w:sz w:val="18"/>
              </w:rPr>
              <w:t>Travel choices can create nonreimbursable, excessive, duplicate, or unauthorized costs.</w:t>
            </w:r>
          </w:p>
        </w:tc>
        <w:tc>
          <w:tcPr>
            <w:tcW w:type="dxa" w:w="4320"/>
            <w:vAlign w:val="top"/>
          </w:tcPr>
          <w:p>
            <w:r/>
            <w:r>
              <w:rPr>
                <w:b w:val="0"/>
                <w:sz w:val="18"/>
              </w:rPr>
              <w:t>Agent may compare options and draft itinerary; booking above policy threshold requires human review.</w:t>
            </w:r>
          </w:p>
        </w:tc>
      </w:tr>
      <w:tr>
        <w:tc>
          <w:tcPr>
            <w:tcW w:type="dxa" w:w="2160"/>
            <w:vAlign w:val="top"/>
          </w:tcPr>
          <w:p>
            <w:r/>
            <w:r>
              <w:rPr>
                <w:b w:val="0"/>
                <w:sz w:val="18"/>
              </w:rPr>
              <w:t>Policy compliance</w:t>
            </w:r>
          </w:p>
        </w:tc>
        <w:tc>
          <w:tcPr>
            <w:tcW w:type="dxa" w:w="3168"/>
            <w:vAlign w:val="top"/>
          </w:tcPr>
          <w:p>
            <w:r/>
            <w:r>
              <w:rPr>
                <w:b w:val="0"/>
                <w:sz w:val="18"/>
              </w:rPr>
              <w:t>Travel must comply with institutional travel policy.</w:t>
            </w:r>
          </w:p>
        </w:tc>
        <w:tc>
          <w:tcPr>
            <w:tcW w:type="dxa" w:w="4320"/>
            <w:vAlign w:val="top"/>
          </w:tcPr>
          <w:p>
            <w:r/>
            <w:r>
              <w:rPr>
                <w:b w:val="0"/>
                <w:sz w:val="18"/>
              </w:rPr>
              <w:t>Allowed fare class, lodging class, per diem, booking window, preferred vendor, and approval rules are static constraints.</w:t>
            </w:r>
          </w:p>
        </w:tc>
      </w:tr>
      <w:tr>
        <w:tc>
          <w:tcPr>
            <w:tcW w:type="dxa" w:w="2160"/>
            <w:vAlign w:val="top"/>
          </w:tcPr>
          <w:p>
            <w:r/>
            <w:r>
              <w:rPr>
                <w:b w:val="0"/>
                <w:sz w:val="18"/>
              </w:rPr>
              <w:t>Purpose / business justification</w:t>
            </w:r>
          </w:p>
        </w:tc>
        <w:tc>
          <w:tcPr>
            <w:tcW w:type="dxa" w:w="3168"/>
            <w:vAlign w:val="top"/>
          </w:tcPr>
          <w:p>
            <w:r/>
            <w:r>
              <w:rPr>
                <w:b w:val="0"/>
                <w:sz w:val="18"/>
              </w:rPr>
              <w:t>Travel must connect to an approved business purpose.</w:t>
            </w:r>
          </w:p>
        </w:tc>
        <w:tc>
          <w:tcPr>
            <w:tcW w:type="dxa" w:w="4320"/>
            <w:vAlign w:val="top"/>
          </w:tcPr>
          <w:p>
            <w:r/>
            <w:r>
              <w:rPr>
                <w:b w:val="0"/>
                <w:sz w:val="18"/>
              </w:rPr>
              <w:t>Agent may not book or recommend final travel without event purpose, dates, traveler, destination, and business rationale.</w:t>
            </w:r>
          </w:p>
        </w:tc>
      </w:tr>
      <w:tr>
        <w:tc>
          <w:tcPr>
            <w:tcW w:type="dxa" w:w="2160"/>
            <w:vAlign w:val="top"/>
          </w:tcPr>
          <w:p>
            <w:r/>
            <w:r>
              <w:rPr>
                <w:b w:val="0"/>
                <w:sz w:val="18"/>
              </w:rPr>
              <w:t>Traveler viability / logistics</w:t>
            </w:r>
          </w:p>
        </w:tc>
        <w:tc>
          <w:tcPr>
            <w:tcW w:type="dxa" w:w="3168"/>
            <w:vAlign w:val="top"/>
          </w:tcPr>
          <w:p>
            <w:r/>
            <w:r>
              <w:rPr>
                <w:b w:val="0"/>
                <w:sz w:val="18"/>
              </w:rPr>
              <w:t>Itinerary must be practically usable by the traveler.</w:t>
            </w:r>
          </w:p>
        </w:tc>
        <w:tc>
          <w:tcPr>
            <w:tcW w:type="dxa" w:w="4320"/>
            <w:vAlign w:val="top"/>
          </w:tcPr>
          <w:p>
            <w:r/>
            <w:r>
              <w:rPr>
                <w:b w:val="0"/>
                <w:sz w:val="18"/>
              </w:rPr>
              <w:t>Connections below minimum time, overnight layovers, unreasonable departure time, or airport far from destination may be disallowed.</w:t>
            </w:r>
          </w:p>
        </w:tc>
      </w:tr>
      <w:tr>
        <w:tc>
          <w:tcPr>
            <w:tcW w:type="dxa" w:w="2160"/>
            <w:vAlign w:val="top"/>
          </w:tcPr>
          <w:p>
            <w:r/>
            <w:r>
              <w:rPr>
                <w:b w:val="0"/>
                <w:sz w:val="18"/>
              </w:rPr>
              <w:t>Safety / duty of care</w:t>
            </w:r>
          </w:p>
        </w:tc>
        <w:tc>
          <w:tcPr>
            <w:tcW w:type="dxa" w:w="3168"/>
            <w:vAlign w:val="top"/>
          </w:tcPr>
          <w:p>
            <w:r/>
            <w:r>
              <w:rPr>
                <w:b w:val="0"/>
                <w:sz w:val="18"/>
              </w:rPr>
              <w:t>Some destinations or travel modes may require review.</w:t>
            </w:r>
          </w:p>
        </w:tc>
        <w:tc>
          <w:tcPr>
            <w:tcW w:type="dxa" w:w="4320"/>
            <w:vAlign w:val="top"/>
          </w:tcPr>
          <w:p>
            <w:r/>
            <w:r>
              <w:rPr>
                <w:b w:val="0"/>
                <w:sz w:val="18"/>
              </w:rPr>
              <w:t>Restricted destinations, high-risk areas, late-night arrival, or solo travel constraints may trigger review.</w:t>
            </w:r>
          </w:p>
        </w:tc>
      </w:tr>
      <w:tr>
        <w:tc>
          <w:tcPr>
            <w:tcW w:type="dxa" w:w="2160"/>
            <w:vAlign w:val="top"/>
          </w:tcPr>
          <w:p>
            <w:r/>
            <w:r>
              <w:rPr>
                <w:b w:val="0"/>
                <w:sz w:val="18"/>
              </w:rPr>
              <w:t>Authority / finalization</w:t>
            </w:r>
          </w:p>
        </w:tc>
        <w:tc>
          <w:tcPr>
            <w:tcW w:type="dxa" w:w="3168"/>
            <w:vAlign w:val="top"/>
          </w:tcPr>
          <w:p>
            <w:r/>
            <w:r>
              <w:rPr>
                <w:b w:val="0"/>
                <w:sz w:val="18"/>
              </w:rPr>
              <w:t>Booking, purchase, cancellation, or change fees create commitment.</w:t>
            </w:r>
          </w:p>
        </w:tc>
        <w:tc>
          <w:tcPr>
            <w:tcW w:type="dxa" w:w="4320"/>
            <w:vAlign w:val="top"/>
          </w:tcPr>
          <w:p>
            <w:r/>
            <w:r>
              <w:rPr>
                <w:b w:val="0"/>
                <w:sz w:val="18"/>
              </w:rPr>
              <w:t>Agent may draft or recommend; actual booking, cancellation, or purchase requires explicit authority or human review.</w:t>
            </w:r>
          </w:p>
        </w:tc>
      </w:tr>
      <w:tr>
        <w:tc>
          <w:tcPr>
            <w:tcW w:type="dxa" w:w="2160"/>
            <w:vAlign w:val="top"/>
          </w:tcPr>
          <w:p>
            <w:r/>
            <w:r>
              <w:rPr>
                <w:b w:val="0"/>
                <w:sz w:val="18"/>
              </w:rPr>
              <w:t>Privacy / personal data</w:t>
            </w:r>
          </w:p>
        </w:tc>
        <w:tc>
          <w:tcPr>
            <w:tcW w:type="dxa" w:w="3168"/>
            <w:vAlign w:val="top"/>
          </w:tcPr>
          <w:p>
            <w:r/>
            <w:r>
              <w:rPr>
                <w:b w:val="0"/>
                <w:sz w:val="18"/>
              </w:rPr>
              <w:t>Travel planning uses personal identity, passport, loyalty, payment, and schedule information.</w:t>
            </w:r>
          </w:p>
        </w:tc>
        <w:tc>
          <w:tcPr>
            <w:tcW w:type="dxa" w:w="4320"/>
            <w:vAlign w:val="top"/>
          </w:tcPr>
          <w:p>
            <w:r/>
            <w:r>
              <w:rPr>
                <w:b w:val="0"/>
                <w:sz w:val="18"/>
              </w:rPr>
              <w:t>Agent may not expose traveler details to unapproved tools or vendors.</w:t>
            </w:r>
          </w:p>
        </w:tc>
      </w:tr>
      <w:tr>
        <w:tc>
          <w:tcPr>
            <w:tcW w:type="dxa" w:w="2160"/>
            <w:vAlign w:val="top"/>
          </w:tcPr>
          <w:p>
            <w:r/>
            <w:r>
              <w:rPr>
                <w:b w:val="0"/>
                <w:sz w:val="18"/>
              </w:rPr>
              <w:t>Recoverability</w:t>
            </w:r>
          </w:p>
        </w:tc>
        <w:tc>
          <w:tcPr>
            <w:tcW w:type="dxa" w:w="3168"/>
            <w:vAlign w:val="top"/>
          </w:tcPr>
          <w:p>
            <w:r/>
            <w:r>
              <w:rPr>
                <w:b w:val="0"/>
                <w:sz w:val="18"/>
              </w:rPr>
              <w:t>Some actions are hard or expensive to reverse.</w:t>
            </w:r>
          </w:p>
        </w:tc>
        <w:tc>
          <w:tcPr>
            <w:tcW w:type="dxa" w:w="4320"/>
            <w:vAlign w:val="top"/>
          </w:tcPr>
          <w:p>
            <w:r/>
            <w:r>
              <w:rPr>
                <w:b w:val="0"/>
                <w:sz w:val="18"/>
              </w:rPr>
              <w:t>Nonrefundable booking, cancellation, or change-fee exposure requires human approval.</w:t>
            </w:r>
          </w:p>
        </w:tc>
      </w:tr>
    </w:tbl>
    <w:p/>
    <w:p>
      <w:pPr>
        <w:pStyle w:val="Heading2"/>
      </w:pPr>
      <w:r>
        <w:t>4.2 Static Travel Agent Decision Rules</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D9EAF7"/>
            <w:vAlign w:val="center"/>
          </w:tcPr>
          <w:p>
            <w:r/>
            <w:r>
              <w:rPr>
                <w:b/>
                <w:sz w:val="18"/>
              </w:rPr>
              <w:t>Proposed travel action</w:t>
            </w:r>
          </w:p>
        </w:tc>
        <w:tc>
          <w:tcPr>
            <w:tcW w:type="dxa" w:w="2160"/>
            <w:shd w:fill="D9EAF7"/>
            <w:vAlign w:val="center"/>
          </w:tcPr>
          <w:p>
            <w:r/>
            <w:r>
              <w:rPr>
                <w:b/>
                <w:sz w:val="18"/>
              </w:rPr>
              <w:t>Static sidecar decision</w:t>
            </w:r>
          </w:p>
        </w:tc>
        <w:tc>
          <w:tcPr>
            <w:tcW w:type="dxa" w:w="3888"/>
            <w:shd w:fill="D9EAF7"/>
            <w:vAlign w:val="center"/>
          </w:tcPr>
          <w:p>
            <w:r/>
            <w:r>
              <w:rPr>
                <w:b/>
                <w:sz w:val="18"/>
              </w:rPr>
              <w:t>Reason</w:t>
            </w:r>
          </w:p>
        </w:tc>
      </w:tr>
      <w:tr>
        <w:tc>
          <w:tcPr>
            <w:tcW w:type="dxa" w:w="3456"/>
            <w:vAlign w:val="top"/>
          </w:tcPr>
          <w:p>
            <w:r/>
            <w:r>
              <w:rPr>
                <w:b w:val="0"/>
                <w:sz w:val="18"/>
              </w:rPr>
              <w:t>Search flights for approved conference dates and destination.</w:t>
            </w:r>
          </w:p>
        </w:tc>
        <w:tc>
          <w:tcPr>
            <w:tcW w:type="dxa" w:w="2160"/>
            <w:vAlign w:val="top"/>
          </w:tcPr>
          <w:p>
            <w:r/>
            <w:r>
              <w:rPr>
                <w:b w:val="0"/>
                <w:sz w:val="18"/>
              </w:rPr>
              <w:t>ALLOW</w:t>
            </w:r>
          </w:p>
        </w:tc>
        <w:tc>
          <w:tcPr>
            <w:tcW w:type="dxa" w:w="3888"/>
            <w:vAlign w:val="top"/>
          </w:tcPr>
          <w:p>
            <w:r/>
            <w:r>
              <w:rPr>
                <w:b w:val="0"/>
                <w:sz w:val="18"/>
              </w:rPr>
              <w:t>Read/search action with low commitment if no booking occurs.</w:t>
            </w:r>
          </w:p>
        </w:tc>
      </w:tr>
      <w:tr>
        <w:tc>
          <w:tcPr>
            <w:tcW w:type="dxa" w:w="3456"/>
            <w:vAlign w:val="top"/>
          </w:tcPr>
          <w:p>
            <w:r/>
            <w:r>
              <w:rPr>
                <w:b w:val="0"/>
                <w:sz w:val="18"/>
              </w:rPr>
              <w:t>Draft itinerary using policy-compliant fare class and approved destination.</w:t>
            </w:r>
          </w:p>
        </w:tc>
        <w:tc>
          <w:tcPr>
            <w:tcW w:type="dxa" w:w="2160"/>
            <w:vAlign w:val="top"/>
          </w:tcPr>
          <w:p>
            <w:r/>
            <w:r>
              <w:rPr>
                <w:b w:val="0"/>
                <w:sz w:val="18"/>
              </w:rPr>
              <w:t>ALLOW_WITH_LIMITS</w:t>
            </w:r>
          </w:p>
        </w:tc>
        <w:tc>
          <w:tcPr>
            <w:tcW w:type="dxa" w:w="3888"/>
            <w:vAlign w:val="top"/>
          </w:tcPr>
          <w:p>
            <w:r/>
            <w:r>
              <w:rPr>
                <w:b w:val="0"/>
                <w:sz w:val="18"/>
              </w:rPr>
              <w:t>Draft only; no purchase or final booking.</w:t>
            </w:r>
          </w:p>
        </w:tc>
      </w:tr>
      <w:tr>
        <w:tc>
          <w:tcPr>
            <w:tcW w:type="dxa" w:w="3456"/>
            <w:vAlign w:val="top"/>
          </w:tcPr>
          <w:p>
            <w:r/>
            <w:r>
              <w:rPr>
                <w:b w:val="0"/>
                <w:sz w:val="18"/>
              </w:rPr>
              <w:t>Book nonrefundable flight without human confirmation.</w:t>
            </w:r>
          </w:p>
        </w:tc>
        <w:tc>
          <w:tcPr>
            <w:tcW w:type="dxa" w:w="2160"/>
            <w:vAlign w:val="top"/>
          </w:tcPr>
          <w:p>
            <w:r/>
            <w:r>
              <w:rPr>
                <w:b w:val="0"/>
                <w:sz w:val="18"/>
              </w:rPr>
              <w:t>DENY or REQUIRE_HUMAN_REVIEW</w:t>
            </w:r>
          </w:p>
        </w:tc>
        <w:tc>
          <w:tcPr>
            <w:tcW w:type="dxa" w:w="3888"/>
            <w:vAlign w:val="top"/>
          </w:tcPr>
          <w:p>
            <w:r/>
            <w:r>
              <w:rPr>
                <w:b w:val="0"/>
                <w:sz w:val="18"/>
              </w:rPr>
              <w:t>Financial integrity and recoverability domains fail.</w:t>
            </w:r>
          </w:p>
        </w:tc>
      </w:tr>
      <w:tr>
        <w:tc>
          <w:tcPr>
            <w:tcW w:type="dxa" w:w="3456"/>
            <w:vAlign w:val="top"/>
          </w:tcPr>
          <w:p>
            <w:r/>
            <w:r>
              <w:rPr>
                <w:b w:val="0"/>
                <w:sz w:val="18"/>
              </w:rPr>
              <w:t>Book business-class fare for ordinary domestic trip.</w:t>
            </w:r>
          </w:p>
        </w:tc>
        <w:tc>
          <w:tcPr>
            <w:tcW w:type="dxa" w:w="2160"/>
            <w:vAlign w:val="top"/>
          </w:tcPr>
          <w:p>
            <w:r/>
            <w:r>
              <w:rPr>
                <w:b w:val="0"/>
                <w:sz w:val="18"/>
              </w:rPr>
              <w:t>REQUIRE_HUMAN_REVIEW or DENY</w:t>
            </w:r>
          </w:p>
        </w:tc>
        <w:tc>
          <w:tcPr>
            <w:tcW w:type="dxa" w:w="3888"/>
            <w:vAlign w:val="top"/>
          </w:tcPr>
          <w:p>
            <w:r/>
            <w:r>
              <w:rPr>
                <w:b w:val="0"/>
                <w:sz w:val="18"/>
              </w:rPr>
              <w:t>Policy compliance and financial integrity constraint.</w:t>
            </w:r>
          </w:p>
        </w:tc>
      </w:tr>
      <w:tr>
        <w:tc>
          <w:tcPr>
            <w:tcW w:type="dxa" w:w="3456"/>
            <w:vAlign w:val="top"/>
          </w:tcPr>
          <w:p>
            <w:r/>
            <w:r>
              <w:rPr>
                <w:b w:val="0"/>
                <w:sz w:val="18"/>
              </w:rPr>
              <w:t>Book hotel outside allowed rate cap.</w:t>
            </w:r>
          </w:p>
        </w:tc>
        <w:tc>
          <w:tcPr>
            <w:tcW w:type="dxa" w:w="2160"/>
            <w:vAlign w:val="top"/>
          </w:tcPr>
          <w:p>
            <w:r/>
            <w:r>
              <w:rPr>
                <w:b w:val="0"/>
                <w:sz w:val="18"/>
              </w:rPr>
              <w:t>REQUIRE_HUMAN_REVIEW</w:t>
            </w:r>
          </w:p>
        </w:tc>
        <w:tc>
          <w:tcPr>
            <w:tcW w:type="dxa" w:w="3888"/>
            <w:vAlign w:val="top"/>
          </w:tcPr>
          <w:p>
            <w:r/>
            <w:r>
              <w:rPr>
                <w:b w:val="0"/>
                <w:sz w:val="18"/>
              </w:rPr>
              <w:t>May be allowed only with exception evidence.</w:t>
            </w:r>
          </w:p>
        </w:tc>
      </w:tr>
      <w:tr>
        <w:tc>
          <w:tcPr>
            <w:tcW w:type="dxa" w:w="3456"/>
            <w:vAlign w:val="top"/>
          </w:tcPr>
          <w:p>
            <w:r/>
            <w:r>
              <w:rPr>
                <w:b w:val="0"/>
                <w:sz w:val="18"/>
              </w:rPr>
              <w:t>Select itinerary with 25-minute connection.</w:t>
            </w:r>
          </w:p>
        </w:tc>
        <w:tc>
          <w:tcPr>
            <w:tcW w:type="dxa" w:w="2160"/>
            <w:vAlign w:val="top"/>
          </w:tcPr>
          <w:p>
            <w:r/>
            <w:r>
              <w:rPr>
                <w:b w:val="0"/>
                <w:sz w:val="18"/>
              </w:rPr>
              <w:t>DENY or REROUTE</w:t>
            </w:r>
          </w:p>
        </w:tc>
        <w:tc>
          <w:tcPr>
            <w:tcW w:type="dxa" w:w="3888"/>
            <w:vAlign w:val="top"/>
          </w:tcPr>
          <w:p>
            <w:r/>
            <w:r>
              <w:rPr>
                <w:b w:val="0"/>
                <w:sz w:val="18"/>
              </w:rPr>
              <w:t>Traveler viability domain fails under static minimum-connection rule.</w:t>
            </w:r>
          </w:p>
        </w:tc>
      </w:tr>
      <w:tr>
        <w:tc>
          <w:tcPr>
            <w:tcW w:type="dxa" w:w="3456"/>
            <w:vAlign w:val="top"/>
          </w:tcPr>
          <w:p>
            <w:r/>
            <w:r>
              <w:rPr>
                <w:b w:val="0"/>
                <w:sz w:val="18"/>
              </w:rPr>
              <w:t>Book airport located far from destination to save money.</w:t>
            </w:r>
          </w:p>
        </w:tc>
        <w:tc>
          <w:tcPr>
            <w:tcW w:type="dxa" w:w="2160"/>
            <w:vAlign w:val="top"/>
          </w:tcPr>
          <w:p>
            <w:r/>
            <w:r>
              <w:rPr>
                <w:b w:val="0"/>
                <w:sz w:val="18"/>
              </w:rPr>
              <w:t>REQUIRE_HUMAN_REVIEW or DENY</w:t>
            </w:r>
          </w:p>
        </w:tc>
        <w:tc>
          <w:tcPr>
            <w:tcW w:type="dxa" w:w="3888"/>
            <w:vAlign w:val="top"/>
          </w:tcPr>
          <w:p>
            <w:r/>
            <w:r>
              <w:rPr>
                <w:b w:val="0"/>
                <w:sz w:val="18"/>
              </w:rPr>
              <w:t>Cost savings may damage traveler viability and operational practicality.</w:t>
            </w:r>
          </w:p>
        </w:tc>
      </w:tr>
      <w:tr>
        <w:tc>
          <w:tcPr>
            <w:tcW w:type="dxa" w:w="3456"/>
            <w:vAlign w:val="top"/>
          </w:tcPr>
          <w:p>
            <w:r/>
            <w:r>
              <w:rPr>
                <w:b w:val="0"/>
                <w:sz w:val="18"/>
              </w:rPr>
              <w:t>Send traveler passport or personal details to unapproved vendor.</w:t>
            </w:r>
          </w:p>
        </w:tc>
        <w:tc>
          <w:tcPr>
            <w:tcW w:type="dxa" w:w="2160"/>
            <w:vAlign w:val="top"/>
          </w:tcPr>
          <w:p>
            <w:r/>
            <w:r>
              <w:rPr>
                <w:b w:val="0"/>
                <w:sz w:val="18"/>
              </w:rPr>
              <w:t>DENY</w:t>
            </w:r>
          </w:p>
        </w:tc>
        <w:tc>
          <w:tcPr>
            <w:tcW w:type="dxa" w:w="3888"/>
            <w:vAlign w:val="top"/>
          </w:tcPr>
          <w:p>
            <w:r/>
            <w:r>
              <w:rPr>
                <w:b w:val="0"/>
                <w:sz w:val="18"/>
              </w:rPr>
              <w:t>Privacy and security domain violation.</w:t>
            </w:r>
          </w:p>
        </w:tc>
      </w:tr>
      <w:tr>
        <w:tc>
          <w:tcPr>
            <w:tcW w:type="dxa" w:w="3456"/>
            <w:vAlign w:val="top"/>
          </w:tcPr>
          <w:p>
            <w:r/>
            <w:r>
              <w:rPr>
                <w:b w:val="0"/>
                <w:sz w:val="18"/>
              </w:rPr>
              <w:t>Cancel existing booking.</w:t>
            </w:r>
          </w:p>
        </w:tc>
        <w:tc>
          <w:tcPr>
            <w:tcW w:type="dxa" w:w="2160"/>
            <w:vAlign w:val="top"/>
          </w:tcPr>
          <w:p>
            <w:r/>
            <w:r>
              <w:rPr>
                <w:b w:val="0"/>
                <w:sz w:val="18"/>
              </w:rPr>
              <w:t>REQUIRE_HUMAN_REVIEW</w:t>
            </w:r>
          </w:p>
        </w:tc>
        <w:tc>
          <w:tcPr>
            <w:tcW w:type="dxa" w:w="3888"/>
            <w:vAlign w:val="top"/>
          </w:tcPr>
          <w:p>
            <w:r/>
            <w:r>
              <w:rPr>
                <w:b w:val="0"/>
                <w:sz w:val="18"/>
              </w:rPr>
              <w:t>Cancellation may create cost, disruption, or irreversible loss.</w:t>
            </w:r>
          </w:p>
        </w:tc>
      </w:tr>
      <w:tr>
        <w:tc>
          <w:tcPr>
            <w:tcW w:type="dxa" w:w="3456"/>
            <w:vAlign w:val="top"/>
          </w:tcPr>
          <w:p>
            <w:r/>
            <w:r>
              <w:rPr>
                <w:b w:val="0"/>
                <w:sz w:val="18"/>
              </w:rPr>
              <w:t>Prepare comparison of three policy-compliant options.</w:t>
            </w:r>
          </w:p>
        </w:tc>
        <w:tc>
          <w:tcPr>
            <w:tcW w:type="dxa" w:w="2160"/>
            <w:vAlign w:val="top"/>
          </w:tcPr>
          <w:p>
            <w:r/>
            <w:r>
              <w:rPr>
                <w:b w:val="0"/>
                <w:sz w:val="18"/>
              </w:rPr>
              <w:t>ALLOW</w:t>
            </w:r>
          </w:p>
        </w:tc>
        <w:tc>
          <w:tcPr>
            <w:tcW w:type="dxa" w:w="3888"/>
            <w:vAlign w:val="top"/>
          </w:tcPr>
          <w:p>
            <w:r/>
            <w:r>
              <w:rPr>
                <w:b w:val="0"/>
                <w:sz w:val="18"/>
              </w:rPr>
              <w:t>Informational/draft action; no commitment.</w:t>
            </w:r>
          </w:p>
        </w:tc>
      </w:tr>
    </w:tbl>
    <w:p/>
    <w:p>
      <w:r>
        <w:t>The travel-agent example shows that static sidecar governance is not merely permission checking. It alters action selection by distinguishing search, draft, recommend, reserve, book, cancel, and finalize as different authority classes. The same tool may be allowed for search but denied for purchase.</w:t>
      </w:r>
    </w:p>
    <w:p>
      <w:pPr>
        <w:pStyle w:val="Heading1"/>
      </w:pPr>
      <w:r>
        <w:t>5. Example C: Reimbursement Agent Governance</w:t>
      </w:r>
    </w:p>
    <w:p>
      <w:r>
        <w:t>The reimbursement-agent example remains the clearest enterprise workflow prototype. It shows how static sidecar governance prevents an agent from turning document processing into de facto approval.</w:t>
      </w:r>
    </w:p>
    <w:p>
      <w:pPr>
        <w:pStyle w:val="Heading2"/>
      </w:pPr>
      <w:r>
        <w:t>5.1 Productive Power Domains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r/>
            <w:r>
              <w:rPr>
                <w:b/>
                <w:sz w:val="18"/>
              </w:rPr>
              <w:t>Domain</w:t>
            </w:r>
          </w:p>
        </w:tc>
        <w:tc>
          <w:tcPr>
            <w:tcW w:type="dxa" w:w="3168"/>
            <w:shd w:fill="D9EAF7"/>
            <w:vAlign w:val="center"/>
          </w:tcPr>
          <w:p>
            <w:r/>
            <w:r>
              <w:rPr>
                <w:b/>
                <w:sz w:val="18"/>
              </w:rPr>
              <w:t>Static concern</w:t>
            </w:r>
          </w:p>
        </w:tc>
        <w:tc>
          <w:tcPr>
            <w:tcW w:type="dxa" w:w="4320"/>
            <w:shd w:fill="D9EAF7"/>
            <w:vAlign w:val="center"/>
          </w:tcPr>
          <w:p>
            <w:r/>
            <w:r>
              <w:rPr>
                <w:b/>
                <w:sz w:val="18"/>
              </w:rPr>
              <w:t>Constraint examples</w:t>
            </w:r>
          </w:p>
        </w:tc>
      </w:tr>
      <w:tr>
        <w:tc>
          <w:tcPr>
            <w:tcW w:type="dxa" w:w="2160"/>
            <w:vAlign w:val="top"/>
          </w:tcPr>
          <w:p>
            <w:r/>
            <w:r>
              <w:rPr>
                <w:b w:val="0"/>
                <w:sz w:val="18"/>
              </w:rPr>
              <w:t>Financial integrity</w:t>
            </w:r>
          </w:p>
        </w:tc>
        <w:tc>
          <w:tcPr>
            <w:tcW w:type="dxa" w:w="3168"/>
            <w:vAlign w:val="top"/>
          </w:tcPr>
          <w:p>
            <w:r/>
            <w:r>
              <w:rPr>
                <w:b w:val="0"/>
                <w:sz w:val="18"/>
              </w:rPr>
              <w:t>Wrong reimbursement amount or eligibility creates institutional loss or tax/reporting problems.</w:t>
            </w:r>
          </w:p>
        </w:tc>
        <w:tc>
          <w:tcPr>
            <w:tcW w:type="dxa" w:w="4320"/>
            <w:vAlign w:val="top"/>
          </w:tcPr>
          <w:p>
            <w:r/>
            <w:r>
              <w:rPr>
                <w:b w:val="0"/>
                <w:sz w:val="18"/>
              </w:rPr>
              <w:t>Agent may extract amount but cannot certify reimbursability without policy support and review.</w:t>
            </w:r>
          </w:p>
        </w:tc>
      </w:tr>
      <w:tr>
        <w:tc>
          <w:tcPr>
            <w:tcW w:type="dxa" w:w="2160"/>
            <w:vAlign w:val="top"/>
          </w:tcPr>
          <w:p>
            <w:r/>
            <w:r>
              <w:rPr>
                <w:b w:val="0"/>
                <w:sz w:val="18"/>
              </w:rPr>
              <w:t>Policy compliance</w:t>
            </w:r>
          </w:p>
        </w:tc>
        <w:tc>
          <w:tcPr>
            <w:tcW w:type="dxa" w:w="3168"/>
            <w:vAlign w:val="top"/>
          </w:tcPr>
          <w:p>
            <w:r/>
            <w:r>
              <w:rPr>
                <w:b w:val="0"/>
                <w:sz w:val="18"/>
              </w:rPr>
              <w:t>Expenses must map to institutional reimbursement rules.</w:t>
            </w:r>
          </w:p>
        </w:tc>
        <w:tc>
          <w:tcPr>
            <w:tcW w:type="dxa" w:w="4320"/>
            <w:vAlign w:val="top"/>
          </w:tcPr>
          <w:p>
            <w:r/>
            <w:r>
              <w:rPr>
                <w:b w:val="0"/>
                <w:sz w:val="18"/>
              </w:rPr>
              <w:t>Missing agenda, missing business purpose, spouse travel, alcohol, mixed personal/business expenses, or unclear dates require review.</w:t>
            </w:r>
          </w:p>
        </w:tc>
      </w:tr>
      <w:tr>
        <w:tc>
          <w:tcPr>
            <w:tcW w:type="dxa" w:w="2160"/>
            <w:vAlign w:val="top"/>
          </w:tcPr>
          <w:p>
            <w:r/>
            <w:r>
              <w:rPr>
                <w:b w:val="0"/>
                <w:sz w:val="18"/>
              </w:rPr>
              <w:t>Tax/legal integrity</w:t>
            </w:r>
          </w:p>
        </w:tc>
        <w:tc>
          <w:tcPr>
            <w:tcW w:type="dxa" w:w="3168"/>
            <w:vAlign w:val="top"/>
          </w:tcPr>
          <w:p>
            <w:r/>
            <w:r>
              <w:rPr>
                <w:b w:val="0"/>
                <w:sz w:val="18"/>
              </w:rPr>
              <w:t>Improper reimbursement can create tax exposure.</w:t>
            </w:r>
          </w:p>
        </w:tc>
        <w:tc>
          <w:tcPr>
            <w:tcW w:type="dxa" w:w="4320"/>
            <w:vAlign w:val="top"/>
          </w:tcPr>
          <w:p>
            <w:r/>
            <w:r>
              <w:rPr>
                <w:b w:val="0"/>
                <w:sz w:val="18"/>
              </w:rPr>
              <w:t>Tax-sensitive classifications require human review.</w:t>
            </w:r>
          </w:p>
        </w:tc>
      </w:tr>
      <w:tr>
        <w:tc>
          <w:tcPr>
            <w:tcW w:type="dxa" w:w="2160"/>
            <w:vAlign w:val="top"/>
          </w:tcPr>
          <w:p>
            <w:r/>
            <w:r>
              <w:rPr>
                <w:b w:val="0"/>
                <w:sz w:val="18"/>
              </w:rPr>
              <w:t>Evidence sufficiency</w:t>
            </w:r>
          </w:p>
        </w:tc>
        <w:tc>
          <w:tcPr>
            <w:tcW w:type="dxa" w:w="3168"/>
            <w:vAlign w:val="top"/>
          </w:tcPr>
          <w:p>
            <w:r/>
            <w:r>
              <w:rPr>
                <w:b w:val="0"/>
                <w:sz w:val="18"/>
              </w:rPr>
              <w:t>Who/what/when/where/why must be supported.</w:t>
            </w:r>
          </w:p>
        </w:tc>
        <w:tc>
          <w:tcPr>
            <w:tcW w:type="dxa" w:w="4320"/>
            <w:vAlign w:val="top"/>
          </w:tcPr>
          <w:p>
            <w:r/>
            <w:r>
              <w:rPr>
                <w:b w:val="0"/>
                <w:sz w:val="18"/>
              </w:rPr>
              <w:t>Agent must flag missing evidence rather than infer it silently.</w:t>
            </w:r>
          </w:p>
        </w:tc>
      </w:tr>
      <w:tr>
        <w:tc>
          <w:tcPr>
            <w:tcW w:type="dxa" w:w="2160"/>
            <w:vAlign w:val="top"/>
          </w:tcPr>
          <w:p>
            <w:r/>
            <w:r>
              <w:rPr>
                <w:b w:val="0"/>
                <w:sz w:val="18"/>
              </w:rPr>
              <w:t>Authority / finalization</w:t>
            </w:r>
          </w:p>
        </w:tc>
        <w:tc>
          <w:tcPr>
            <w:tcW w:type="dxa" w:w="3168"/>
            <w:vAlign w:val="top"/>
          </w:tcPr>
          <w:p>
            <w:r/>
            <w:r>
              <w:rPr>
                <w:b w:val="0"/>
                <w:sz w:val="18"/>
              </w:rPr>
              <w:t>“Ready,” “approved,” or “eligible” labels can become de facto authorization.</w:t>
            </w:r>
          </w:p>
        </w:tc>
        <w:tc>
          <w:tcPr>
            <w:tcW w:type="dxa" w:w="4320"/>
            <w:vAlign w:val="top"/>
          </w:tcPr>
          <w:p>
            <w:r/>
            <w:r>
              <w:rPr>
                <w:b w:val="0"/>
                <w:sz w:val="18"/>
              </w:rPr>
              <w:t>Agent may prepare review packet; cannot approve or mark final without authorized reviewer.</w:t>
            </w:r>
          </w:p>
        </w:tc>
      </w:tr>
      <w:tr>
        <w:tc>
          <w:tcPr>
            <w:tcW w:type="dxa" w:w="2160"/>
            <w:vAlign w:val="top"/>
          </w:tcPr>
          <w:p>
            <w:r/>
            <w:r>
              <w:rPr>
                <w:b w:val="0"/>
                <w:sz w:val="18"/>
              </w:rPr>
              <w:t>Data integrity</w:t>
            </w:r>
          </w:p>
        </w:tc>
        <w:tc>
          <w:tcPr>
            <w:tcW w:type="dxa" w:w="3168"/>
            <w:vAlign w:val="top"/>
          </w:tcPr>
          <w:p>
            <w:r/>
            <w:r>
              <w:rPr>
                <w:b w:val="0"/>
                <w:sz w:val="18"/>
              </w:rPr>
              <w:t>Receipts, agendas, bookings, and extracted fields must remain traceable.</w:t>
            </w:r>
          </w:p>
        </w:tc>
        <w:tc>
          <w:tcPr>
            <w:tcW w:type="dxa" w:w="4320"/>
            <w:vAlign w:val="top"/>
          </w:tcPr>
          <w:p>
            <w:r/>
            <w:r>
              <w:rPr>
                <w:b w:val="0"/>
                <w:sz w:val="18"/>
              </w:rPr>
              <w:t>Agent must preserve source links and mark uncertain fields.</w:t>
            </w:r>
          </w:p>
        </w:tc>
      </w:tr>
      <w:tr>
        <w:tc>
          <w:tcPr>
            <w:tcW w:type="dxa" w:w="2160"/>
            <w:vAlign w:val="top"/>
          </w:tcPr>
          <w:p>
            <w:r/>
            <w:r>
              <w:rPr>
                <w:b w:val="0"/>
                <w:sz w:val="18"/>
              </w:rPr>
              <w:t>Privacy</w:t>
            </w:r>
          </w:p>
        </w:tc>
        <w:tc>
          <w:tcPr>
            <w:tcW w:type="dxa" w:w="3168"/>
            <w:vAlign w:val="top"/>
          </w:tcPr>
          <w:p>
            <w:r/>
            <w:r>
              <w:rPr>
                <w:b w:val="0"/>
                <w:sz w:val="18"/>
              </w:rPr>
              <w:t>Receipts and travel records may contain personal/payment information.</w:t>
            </w:r>
          </w:p>
        </w:tc>
        <w:tc>
          <w:tcPr>
            <w:tcW w:type="dxa" w:w="4320"/>
            <w:vAlign w:val="top"/>
          </w:tcPr>
          <w:p>
            <w:r/>
            <w:r>
              <w:rPr>
                <w:b w:val="0"/>
                <w:sz w:val="18"/>
              </w:rPr>
              <w:t>Agent may not send or expose materials outside approved workflow.</w:t>
            </w:r>
          </w:p>
        </w:tc>
      </w:tr>
      <w:tr>
        <w:tc>
          <w:tcPr>
            <w:tcW w:type="dxa" w:w="2160"/>
            <w:vAlign w:val="top"/>
          </w:tcPr>
          <w:p>
            <w:r/>
            <w:r>
              <w:rPr>
                <w:b w:val="0"/>
                <w:sz w:val="18"/>
              </w:rPr>
              <w:t>Recoverability</w:t>
            </w:r>
          </w:p>
        </w:tc>
        <w:tc>
          <w:tcPr>
            <w:tcW w:type="dxa" w:w="3168"/>
            <w:vAlign w:val="top"/>
          </w:tcPr>
          <w:p>
            <w:r/>
            <w:r>
              <w:rPr>
                <w:b w:val="0"/>
                <w:sz w:val="18"/>
              </w:rPr>
              <w:t>Submitted or paid reimbursements are harder to correct.</w:t>
            </w:r>
          </w:p>
        </w:tc>
        <w:tc>
          <w:tcPr>
            <w:tcW w:type="dxa" w:w="4320"/>
            <w:vAlign w:val="top"/>
          </w:tcPr>
          <w:p>
            <w:r/>
            <w:r>
              <w:rPr>
                <w:b w:val="0"/>
                <w:sz w:val="18"/>
              </w:rPr>
              <w:t>Submission or certification requires human review.</w:t>
            </w:r>
          </w:p>
        </w:tc>
      </w:tr>
    </w:tbl>
    <w:p/>
    <w:p>
      <w:pPr>
        <w:pStyle w:val="Heading2"/>
      </w:pPr>
      <w:r>
        <w:t>5.2 Static Reimbursement Decision Rules</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D9EAF7"/>
            <w:vAlign w:val="center"/>
          </w:tcPr>
          <w:p>
            <w:r/>
            <w:r>
              <w:rPr>
                <w:b/>
                <w:sz w:val="18"/>
              </w:rPr>
              <w:t>Proposed reimbursement action</w:t>
            </w:r>
          </w:p>
        </w:tc>
        <w:tc>
          <w:tcPr>
            <w:tcW w:type="dxa" w:w="2160"/>
            <w:shd w:fill="D9EAF7"/>
            <w:vAlign w:val="center"/>
          </w:tcPr>
          <w:p>
            <w:r/>
            <w:r>
              <w:rPr>
                <w:b/>
                <w:sz w:val="18"/>
              </w:rPr>
              <w:t>Static sidecar decision</w:t>
            </w:r>
          </w:p>
        </w:tc>
        <w:tc>
          <w:tcPr>
            <w:tcW w:type="dxa" w:w="3888"/>
            <w:shd w:fill="D9EAF7"/>
            <w:vAlign w:val="center"/>
          </w:tcPr>
          <w:p>
            <w:r/>
            <w:r>
              <w:rPr>
                <w:b/>
                <w:sz w:val="18"/>
              </w:rPr>
              <w:t>Reason</w:t>
            </w:r>
          </w:p>
        </w:tc>
      </w:tr>
      <w:tr>
        <w:tc>
          <w:tcPr>
            <w:tcW w:type="dxa" w:w="3456"/>
            <w:vAlign w:val="top"/>
          </w:tcPr>
          <w:p>
            <w:r/>
            <w:r>
              <w:rPr>
                <w:b w:val="0"/>
                <w:sz w:val="18"/>
              </w:rPr>
              <w:t>Read receipt and extract date, vendor, amount.</w:t>
            </w:r>
          </w:p>
        </w:tc>
        <w:tc>
          <w:tcPr>
            <w:tcW w:type="dxa" w:w="2160"/>
            <w:vAlign w:val="top"/>
          </w:tcPr>
          <w:p>
            <w:r/>
            <w:r>
              <w:rPr>
                <w:b w:val="0"/>
                <w:sz w:val="18"/>
              </w:rPr>
              <w:t>ALLOW</w:t>
            </w:r>
          </w:p>
        </w:tc>
        <w:tc>
          <w:tcPr>
            <w:tcW w:type="dxa" w:w="3888"/>
            <w:vAlign w:val="top"/>
          </w:tcPr>
          <w:p>
            <w:r/>
            <w:r>
              <w:rPr>
                <w:b w:val="0"/>
                <w:sz w:val="18"/>
              </w:rPr>
              <w:t>Low-risk extraction if source trace is preserved.</w:t>
            </w:r>
          </w:p>
        </w:tc>
      </w:tr>
      <w:tr>
        <w:tc>
          <w:tcPr>
            <w:tcW w:type="dxa" w:w="3456"/>
            <w:vAlign w:val="top"/>
          </w:tcPr>
          <w:p>
            <w:r/>
            <w:r>
              <w:rPr>
                <w:b w:val="0"/>
                <w:sz w:val="18"/>
              </w:rPr>
              <w:t>Generate draft business purpose from agenda and receipt.</w:t>
            </w:r>
          </w:p>
        </w:tc>
        <w:tc>
          <w:tcPr>
            <w:tcW w:type="dxa" w:w="2160"/>
            <w:vAlign w:val="top"/>
          </w:tcPr>
          <w:p>
            <w:r/>
            <w:r>
              <w:rPr>
                <w:b w:val="0"/>
                <w:sz w:val="18"/>
              </w:rPr>
              <w:t>ALLOW_WITH_LIMITS</w:t>
            </w:r>
          </w:p>
        </w:tc>
        <w:tc>
          <w:tcPr>
            <w:tcW w:type="dxa" w:w="3888"/>
            <w:vAlign w:val="top"/>
          </w:tcPr>
          <w:p>
            <w:r/>
            <w:r>
              <w:rPr>
                <w:b w:val="0"/>
                <w:sz w:val="18"/>
              </w:rPr>
              <w:t>Draft only; must cite evidence and mark missing who/what/when/where/why.</w:t>
            </w:r>
          </w:p>
        </w:tc>
      </w:tr>
      <w:tr>
        <w:tc>
          <w:tcPr>
            <w:tcW w:type="dxa" w:w="3456"/>
            <w:vAlign w:val="top"/>
          </w:tcPr>
          <w:p>
            <w:r/>
            <w:r>
              <w:rPr>
                <w:b w:val="0"/>
                <w:sz w:val="18"/>
              </w:rPr>
              <w:t>Infer missing business purpose from conference title alone.</w:t>
            </w:r>
          </w:p>
        </w:tc>
        <w:tc>
          <w:tcPr>
            <w:tcW w:type="dxa" w:w="2160"/>
            <w:vAlign w:val="top"/>
          </w:tcPr>
          <w:p>
            <w:r/>
            <w:r>
              <w:rPr>
                <w:b w:val="0"/>
                <w:sz w:val="18"/>
              </w:rPr>
              <w:t>REQUEST_MORE_EVIDENCE or REQUIRE_HUMAN_REVIEW</w:t>
            </w:r>
          </w:p>
        </w:tc>
        <w:tc>
          <w:tcPr>
            <w:tcW w:type="dxa" w:w="3888"/>
            <w:vAlign w:val="top"/>
          </w:tcPr>
          <w:p>
            <w:r/>
            <w:r>
              <w:rPr>
                <w:b w:val="0"/>
                <w:sz w:val="18"/>
              </w:rPr>
              <w:t>Evidence sufficiency failure.</w:t>
            </w:r>
          </w:p>
        </w:tc>
      </w:tr>
      <w:tr>
        <w:tc>
          <w:tcPr>
            <w:tcW w:type="dxa" w:w="3456"/>
            <w:vAlign w:val="top"/>
          </w:tcPr>
          <w:p>
            <w:r/>
            <w:r>
              <w:rPr>
                <w:b w:val="0"/>
                <w:sz w:val="18"/>
              </w:rPr>
              <w:t>Classify ambiguous meal as reimbursable.</w:t>
            </w:r>
          </w:p>
        </w:tc>
        <w:tc>
          <w:tcPr>
            <w:tcW w:type="dxa" w:w="2160"/>
            <w:vAlign w:val="top"/>
          </w:tcPr>
          <w:p>
            <w:r/>
            <w:r>
              <w:rPr>
                <w:b w:val="0"/>
                <w:sz w:val="18"/>
              </w:rPr>
              <w:t>REQUIRE_HUMAN_REVIEW</w:t>
            </w:r>
          </w:p>
        </w:tc>
        <w:tc>
          <w:tcPr>
            <w:tcW w:type="dxa" w:w="3888"/>
            <w:vAlign w:val="top"/>
          </w:tcPr>
          <w:p>
            <w:r/>
            <w:r>
              <w:rPr>
                <w:b w:val="0"/>
                <w:sz w:val="18"/>
              </w:rPr>
              <w:t>Policy compliance and tax/legal integrity.</w:t>
            </w:r>
          </w:p>
        </w:tc>
      </w:tr>
      <w:tr>
        <w:tc>
          <w:tcPr>
            <w:tcW w:type="dxa" w:w="3456"/>
            <w:vAlign w:val="top"/>
          </w:tcPr>
          <w:p>
            <w:r/>
            <w:r>
              <w:rPr>
                <w:b w:val="0"/>
                <w:sz w:val="18"/>
              </w:rPr>
              <w:t>Mark reimbursement packet ready for approval.</w:t>
            </w:r>
          </w:p>
        </w:tc>
        <w:tc>
          <w:tcPr>
            <w:tcW w:type="dxa" w:w="2160"/>
            <w:vAlign w:val="top"/>
          </w:tcPr>
          <w:p>
            <w:r/>
            <w:r>
              <w:rPr>
                <w:b w:val="0"/>
                <w:sz w:val="18"/>
              </w:rPr>
              <w:t>REQUIRE_HUMAN_REVIEW</w:t>
            </w:r>
          </w:p>
        </w:tc>
        <w:tc>
          <w:tcPr>
            <w:tcW w:type="dxa" w:w="3888"/>
            <w:vAlign w:val="top"/>
          </w:tcPr>
          <w:p>
            <w:r/>
            <w:r>
              <w:rPr>
                <w:b w:val="0"/>
                <w:sz w:val="18"/>
              </w:rPr>
              <w:t>Creates de facto approval signal.</w:t>
            </w:r>
          </w:p>
        </w:tc>
      </w:tr>
      <w:tr>
        <w:tc>
          <w:tcPr>
            <w:tcW w:type="dxa" w:w="3456"/>
            <w:vAlign w:val="top"/>
          </w:tcPr>
          <w:p>
            <w:r/>
            <w:r>
              <w:rPr>
                <w:b w:val="0"/>
                <w:sz w:val="18"/>
              </w:rPr>
              <w:t>Submit reimbursement request.</w:t>
            </w:r>
          </w:p>
        </w:tc>
        <w:tc>
          <w:tcPr>
            <w:tcW w:type="dxa" w:w="2160"/>
            <w:vAlign w:val="top"/>
          </w:tcPr>
          <w:p>
            <w:r/>
            <w:r>
              <w:rPr>
                <w:b w:val="0"/>
                <w:sz w:val="18"/>
              </w:rPr>
              <w:t>DENY unless explicitly authorized</w:t>
            </w:r>
          </w:p>
        </w:tc>
        <w:tc>
          <w:tcPr>
            <w:tcW w:type="dxa" w:w="3888"/>
            <w:vAlign w:val="top"/>
          </w:tcPr>
          <w:p>
            <w:r/>
            <w:r>
              <w:rPr>
                <w:b w:val="0"/>
                <w:sz w:val="18"/>
              </w:rPr>
              <w:t>Finalization/system-of-record action.</w:t>
            </w:r>
          </w:p>
        </w:tc>
      </w:tr>
      <w:tr>
        <w:tc>
          <w:tcPr>
            <w:tcW w:type="dxa" w:w="3456"/>
            <w:vAlign w:val="top"/>
          </w:tcPr>
          <w:p>
            <w:r/>
            <w:r>
              <w:rPr>
                <w:b w:val="0"/>
                <w:sz w:val="18"/>
              </w:rPr>
              <w:t>Prepare human-review packet with flagged gaps.</w:t>
            </w:r>
          </w:p>
        </w:tc>
        <w:tc>
          <w:tcPr>
            <w:tcW w:type="dxa" w:w="2160"/>
            <w:vAlign w:val="top"/>
          </w:tcPr>
          <w:p>
            <w:r/>
            <w:r>
              <w:rPr>
                <w:b w:val="0"/>
                <w:sz w:val="18"/>
              </w:rPr>
              <w:t>ALLOW</w:t>
            </w:r>
          </w:p>
        </w:tc>
        <w:tc>
          <w:tcPr>
            <w:tcW w:type="dxa" w:w="3888"/>
            <w:vAlign w:val="top"/>
          </w:tcPr>
          <w:p>
            <w:r/>
            <w:r>
              <w:rPr>
                <w:b w:val="0"/>
                <w:sz w:val="18"/>
              </w:rPr>
              <w:t>Supports human review without unauthorized finalization.</w:t>
            </w:r>
          </w:p>
        </w:tc>
      </w:tr>
    </w:tbl>
    <w:p/>
    <w:p>
      <w:pPr>
        <w:pStyle w:val="Heading1"/>
      </w:pPr>
      <w:r>
        <w:t>6. Additional Static Governance Examples</w:t>
      </w:r>
    </w:p>
    <w:p>
      <w:r>
        <w:t>The printer, travel, and reimbursement examples are enough for the first prototype family. Later examples can expand the static sidecar pattern across other tool classes.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vAlign w:val="center"/>
          </w:tcPr>
          <w:p>
            <w:r/>
            <w:r>
              <w:rPr>
                <w:b/>
                <w:sz w:val="18"/>
              </w:rPr>
              <w:t>Example</w:t>
            </w:r>
          </w:p>
        </w:tc>
        <w:tc>
          <w:tcPr>
            <w:tcW w:type="dxa" w:w="3168"/>
            <w:shd w:fill="D9EAF7"/>
            <w:vAlign w:val="center"/>
          </w:tcPr>
          <w:p>
            <w:r/>
            <w:r>
              <w:rPr>
                <w:b/>
                <w:sz w:val="18"/>
              </w:rPr>
              <w:t>Static domains</w:t>
            </w:r>
          </w:p>
        </w:tc>
        <w:tc>
          <w:tcPr>
            <w:tcW w:type="dxa" w:w="4320"/>
            <w:shd w:fill="D9EAF7"/>
            <w:vAlign w:val="center"/>
          </w:tcPr>
          <w:p>
            <w:r/>
            <w:r>
              <w:rPr>
                <w:b/>
                <w:sz w:val="18"/>
              </w:rPr>
              <w:t>Decision-altering constraints</w:t>
            </w:r>
          </w:p>
        </w:tc>
      </w:tr>
      <w:tr>
        <w:tc>
          <w:tcPr>
            <w:tcW w:type="dxa" w:w="2160"/>
            <w:vAlign w:val="top"/>
          </w:tcPr>
          <w:p>
            <w:r/>
            <w:r>
              <w:rPr>
                <w:b w:val="0"/>
                <w:sz w:val="18"/>
              </w:rPr>
              <w:t>Email sending</w:t>
            </w:r>
          </w:p>
        </w:tc>
        <w:tc>
          <w:tcPr>
            <w:tcW w:type="dxa" w:w="3168"/>
            <w:vAlign w:val="top"/>
          </w:tcPr>
          <w:p>
            <w:r/>
            <w:r>
              <w:rPr>
                <w:b w:val="0"/>
                <w:sz w:val="18"/>
              </w:rPr>
              <w:t>Privacy, authority, reputational integrity, legal/compliance, external communication control</w:t>
            </w:r>
          </w:p>
        </w:tc>
        <w:tc>
          <w:tcPr>
            <w:tcW w:type="dxa" w:w="4320"/>
            <w:vAlign w:val="top"/>
          </w:tcPr>
          <w:p>
            <w:r/>
            <w:r>
              <w:rPr>
                <w:b w:val="0"/>
                <w:sz w:val="18"/>
              </w:rPr>
              <w:t>Draft allowed; external send blocked or human-reviewed; confidential attachments require approved recipients; legal/financial commitments require review.</w:t>
            </w:r>
          </w:p>
        </w:tc>
      </w:tr>
      <w:tr>
        <w:tc>
          <w:tcPr>
            <w:tcW w:type="dxa" w:w="2160"/>
            <w:vAlign w:val="top"/>
          </w:tcPr>
          <w:p>
            <w:r/>
            <w:r>
              <w:rPr>
                <w:b w:val="0"/>
                <w:sz w:val="18"/>
              </w:rPr>
              <w:t>File deletion or modification</w:t>
            </w:r>
          </w:p>
        </w:tc>
        <w:tc>
          <w:tcPr>
            <w:tcW w:type="dxa" w:w="3168"/>
            <w:vAlign w:val="top"/>
          </w:tcPr>
          <w:p>
            <w:r/>
            <w:r>
              <w:rPr>
                <w:b w:val="0"/>
                <w:sz w:val="18"/>
              </w:rPr>
              <w:t>Data integrity, recoverability, authority, auditability</w:t>
            </w:r>
          </w:p>
        </w:tc>
        <w:tc>
          <w:tcPr>
            <w:tcW w:type="dxa" w:w="4320"/>
            <w:vAlign w:val="top"/>
          </w:tcPr>
          <w:p>
            <w:r/>
            <w:r>
              <w:rPr>
                <w:b w:val="0"/>
                <w:sz w:val="18"/>
              </w:rPr>
              <w:t>Read allowed; delete/write requires authority; irreversible changes require backup or review; system-of-record edits require approval.</w:t>
            </w:r>
          </w:p>
        </w:tc>
      </w:tr>
      <w:tr>
        <w:tc>
          <w:tcPr>
            <w:tcW w:type="dxa" w:w="2160"/>
            <w:vAlign w:val="top"/>
          </w:tcPr>
          <w:p>
            <w:r/>
            <w:r>
              <w:rPr>
                <w:b w:val="0"/>
                <w:sz w:val="18"/>
              </w:rPr>
              <w:t>Database query/update</w:t>
            </w:r>
          </w:p>
        </w:tc>
        <w:tc>
          <w:tcPr>
            <w:tcW w:type="dxa" w:w="3168"/>
            <w:vAlign w:val="top"/>
          </w:tcPr>
          <w:p>
            <w:r/>
            <w:r>
              <w:rPr>
                <w:b w:val="0"/>
                <w:sz w:val="18"/>
              </w:rPr>
              <w:t>Privacy, data minimization, authority, auditability, system integrity</w:t>
            </w:r>
          </w:p>
        </w:tc>
        <w:tc>
          <w:tcPr>
            <w:tcW w:type="dxa" w:w="4320"/>
            <w:vAlign w:val="top"/>
          </w:tcPr>
          <w:p>
            <w:r/>
            <w:r>
              <w:rPr>
                <w:b w:val="0"/>
                <w:sz w:val="18"/>
              </w:rPr>
              <w:t>Read-only allowed for permitted fields; bulk export restricted; writes require review; protected data access limited by role.</w:t>
            </w:r>
          </w:p>
        </w:tc>
      </w:tr>
      <w:tr>
        <w:tc>
          <w:tcPr>
            <w:tcW w:type="dxa" w:w="2160"/>
            <w:vAlign w:val="top"/>
          </w:tcPr>
          <w:p>
            <w:r/>
            <w:r>
              <w:rPr>
                <w:b w:val="0"/>
                <w:sz w:val="18"/>
              </w:rPr>
              <w:t>Payment or purchase tool</w:t>
            </w:r>
          </w:p>
        </w:tc>
        <w:tc>
          <w:tcPr>
            <w:tcW w:type="dxa" w:w="3168"/>
            <w:vAlign w:val="top"/>
          </w:tcPr>
          <w:p>
            <w:r/>
            <w:r>
              <w:rPr>
                <w:b w:val="0"/>
                <w:sz w:val="18"/>
              </w:rPr>
              <w:t>Financial integrity, fraud control, authority, recoverability, policy compliance</w:t>
            </w:r>
          </w:p>
        </w:tc>
        <w:tc>
          <w:tcPr>
            <w:tcW w:type="dxa" w:w="4320"/>
            <w:vAlign w:val="top"/>
          </w:tcPr>
          <w:p>
            <w:r/>
            <w:r>
              <w:rPr>
                <w:b w:val="0"/>
                <w:sz w:val="18"/>
              </w:rPr>
              <w:t>Quote/search allowed; purchase/transfer/final approval requires human authorization.</w:t>
            </w:r>
          </w:p>
        </w:tc>
      </w:tr>
      <w:tr>
        <w:tc>
          <w:tcPr>
            <w:tcW w:type="dxa" w:w="2160"/>
            <w:vAlign w:val="top"/>
          </w:tcPr>
          <w:p>
            <w:r/>
            <w:r>
              <w:rPr>
                <w:b w:val="0"/>
                <w:sz w:val="18"/>
              </w:rPr>
              <w:t>Calendar scheduling</w:t>
            </w:r>
          </w:p>
        </w:tc>
        <w:tc>
          <w:tcPr>
            <w:tcW w:type="dxa" w:w="3168"/>
            <w:vAlign w:val="top"/>
          </w:tcPr>
          <w:p>
            <w:r/>
            <w:r>
              <w:rPr>
                <w:b w:val="0"/>
                <w:sz w:val="18"/>
              </w:rPr>
              <w:t>Operational integrity, privacy, authority, affected-party coordination</w:t>
            </w:r>
          </w:p>
        </w:tc>
        <w:tc>
          <w:tcPr>
            <w:tcW w:type="dxa" w:w="4320"/>
            <w:vAlign w:val="top"/>
          </w:tcPr>
          <w:p>
            <w:r/>
            <w:r>
              <w:rPr>
                <w:b w:val="0"/>
                <w:sz w:val="18"/>
              </w:rPr>
              <w:t>Suggest times allowed; schedule on behalf of others limited; external invite with commitment language may require review.</w:t>
            </w:r>
          </w:p>
        </w:tc>
      </w:tr>
    </w:tbl>
    <w:p/>
    <w:p>
      <w:pPr>
        <w:pStyle w:val="Heading1"/>
      </w:pPr>
      <w:r>
        <w:t>7. Core Interpretation</w:t>
      </w:r>
    </w:p>
    <w:p>
      <w:r>
        <w:t>The sidecar is not asking whether a tool has productive capacity in the abstract. It is asking whether using that productive capacity in this proposed way would preserve the governing Productive Power domains.</w:t>
      </w:r>
    </w:p>
    <w:p>
      <w:r>
        <w:t>A printer can print, but it may not be allowed to print this document. A travel tool can book flights, but it may not be allowed to book this fare. A reimbursement agent can extract fields, but it may not be allowed to mark an expense reimbursable. Static sidecar governance is useful precisely when it changes the action from allowed to denied, limited, rerouted, downgraded to draft, or escalated to human review.</w:t>
      </w:r>
    </w:p>
    <w:p>
      <w:r>
        <w:t>The phrase “the printer is not allowed to print” is shorthand. More precisely: the proposed action is not admitted because the printer’s static attributes, location, access class, or output-control properties do not satisfy the relevant domain constraints for this document and actor.</w:t>
      </w:r>
    </w:p>
    <w:p>
      <w:pPr>
        <w:pStyle w:val="Heading1"/>
      </w:pPr>
      <w:r>
        <w:t>8. Recommended Next Step</w:t>
      </w:r>
    </w:p>
    <w:p>
      <w:r>
        <w:t>The next Workstream 4 document should be PV-PP Static Sidecar Domain Constraint Examples v0.1 or this document can serve that role. After this example set is accepted, the next schema should avoid dynamic state fields and instead define static fields only: actor, action, tool class, static tool attributes, authority requested, domain frame, evidence state, sensitivity class, reversibility, finalization class, and required human review.</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Static Tool Governance Examples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