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PV-PP INTERNAL BENCHMARK PROGRAM</w:t>
      </w:r>
    </w:p>
    <w:p>
      <w:pPr>
        <w:pStyle w:val="Title"/>
        <w:jc w:val="center"/>
      </w:pPr>
      <w:r>
        <w:t>Integrated Multi-Agent Productive System Stress Benchmark</w:t>
      </w:r>
    </w:p>
    <w:p>
      <w:pPr>
        <w:jc w:val="center"/>
      </w:pPr>
      <w:r>
        <w:rPr>
          <w:b/>
          <w:sz w:val="26"/>
        </w:rPr>
        <w:t>Controller Interface and Comparator Specification - Version 0.5</w:t>
      </w:r>
    </w:p>
    <w:p>
      <w:pPr>
        <w:jc w:val="center"/>
      </w:pPr>
      <w:r>
        <w:t>Pre-Implementation Working Specification</w:t>
        <w:br/>
        <w:t>31 August 2026</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6"/>
              </w:rPr>
              <w:t>Field</w:t>
            </w:r>
          </w:p>
        </w:tc>
        <w:tc>
          <w:tcPr>
            <w:tcW w:type="dxa" w:w="5040"/>
            <w:vAlign w:val="top"/>
            <w:shd w:fill="D9E2F3"/>
          </w:tcPr>
          <w:p>
            <w:r/>
            <w:r>
              <w:rPr>
                <w:rFonts w:ascii="Aptos" w:hAnsi="Aptos"/>
                <w:b/>
                <w:sz w:val="16"/>
              </w:rPr>
              <w:t>Specification</w:t>
            </w:r>
          </w:p>
        </w:tc>
      </w:tr>
      <w:tr>
        <w:tc>
          <w:tcPr>
            <w:tcW w:type="dxa" w:w="5040"/>
            <w:vAlign w:val="top"/>
          </w:tcPr>
          <w:p>
            <w:r/>
            <w:r>
              <w:rPr>
                <w:rFonts w:ascii="Aptos" w:hAnsi="Aptos"/>
                <w:b w:val="0"/>
                <w:sz w:val="15"/>
              </w:rPr>
              <w:t>Status</w:t>
            </w:r>
          </w:p>
        </w:tc>
        <w:tc>
          <w:tcPr>
            <w:tcW w:type="dxa" w:w="5040"/>
            <w:vAlign w:val="top"/>
          </w:tcPr>
          <w:p>
            <w:r/>
            <w:r>
              <w:rPr>
                <w:rFonts w:ascii="Aptos" w:hAnsi="Aptos"/>
                <w:b w:val="0"/>
                <w:sz w:val="15"/>
              </w:rPr>
              <w:t>Working controller/comparator specification. It does not authorize benchmark execution.</w:t>
            </w:r>
          </w:p>
        </w:tc>
      </w:tr>
      <w:tr>
        <w:tc>
          <w:tcPr>
            <w:tcW w:type="dxa" w:w="5040"/>
            <w:vAlign w:val="top"/>
          </w:tcPr>
          <w:p>
            <w:r/>
            <w:r>
              <w:rPr>
                <w:rFonts w:ascii="Aptos" w:hAnsi="Aptos"/>
                <w:b w:val="0"/>
                <w:sz w:val="15"/>
              </w:rPr>
              <w:t>Parent artifacts</w:t>
            </w:r>
          </w:p>
        </w:tc>
        <w:tc>
          <w:tcPr>
            <w:tcW w:type="dxa" w:w="5040"/>
            <w:vAlign w:val="top"/>
          </w:tcPr>
          <w:p>
            <w:r/>
            <w:r>
              <w:rPr>
                <w:rFonts w:ascii="Aptos" w:hAnsi="Aptos"/>
                <w:b w:val="0"/>
                <w:sz w:val="15"/>
              </w:rPr>
              <w:t>Benchmark Design v0.1; World and State v0.2; Information, Memory, and Observation v0.3; Action, Transformation, and Event v0.4.</w:t>
            </w:r>
          </w:p>
        </w:tc>
      </w:tr>
      <w:tr>
        <w:tc>
          <w:tcPr>
            <w:tcW w:type="dxa" w:w="5040"/>
            <w:vAlign w:val="top"/>
          </w:tcPr>
          <w:p>
            <w:r/>
            <w:r>
              <w:rPr>
                <w:rFonts w:ascii="Aptos" w:hAnsi="Aptos"/>
                <w:b w:val="0"/>
                <w:sz w:val="15"/>
              </w:rPr>
              <w:t>Primary question</w:t>
            </w:r>
          </w:p>
        </w:tc>
        <w:tc>
          <w:tcPr>
            <w:tcW w:type="dxa" w:w="5040"/>
            <w:vAlign w:val="top"/>
          </w:tcPr>
          <w:p>
            <w:r/>
            <w:r>
              <w:rPr>
                <w:rFonts w:ascii="Aptos" w:hAnsi="Aptos"/>
                <w:b w:val="0"/>
                <w:sz w:val="15"/>
              </w:rPr>
              <w:t>Can the frozen PV-PP architecture produce coherent multi-agent behavior under the same legitimate evidence, action space, world dynamics, and computational constraints as competent non-PV-PP comparators?</w:t>
            </w:r>
          </w:p>
        </w:tc>
      </w:tr>
      <w:tr>
        <w:tc>
          <w:tcPr>
            <w:tcW w:type="dxa" w:w="5040"/>
            <w:vAlign w:val="top"/>
          </w:tcPr>
          <w:p>
            <w:r/>
            <w:r>
              <w:rPr>
                <w:rFonts w:ascii="Aptos" w:hAnsi="Aptos"/>
                <w:b w:val="0"/>
                <w:sz w:val="15"/>
              </w:rPr>
              <w:t>Primary regimes</w:t>
            </w:r>
          </w:p>
        </w:tc>
        <w:tc>
          <w:tcPr>
            <w:tcW w:type="dxa" w:w="5040"/>
            <w:vAlign w:val="top"/>
          </w:tcPr>
          <w:p>
            <w:r/>
            <w:r>
              <w:rPr>
                <w:rFonts w:ascii="Aptos" w:hAnsi="Aptos"/>
                <w:b w:val="0"/>
                <w:sz w:val="15"/>
              </w:rPr>
              <w:t>A: frozen canonical PV-PP. B: competent constrained weighted-scalar receding-horizon controller. C: competent constrained myopic/local controller.</w:t>
            </w:r>
          </w:p>
        </w:tc>
      </w:tr>
      <w:tr>
        <w:tc>
          <w:tcPr>
            <w:tcW w:type="dxa" w:w="5040"/>
            <w:vAlign w:val="top"/>
          </w:tcPr>
          <w:p>
            <w:r/>
            <w:r>
              <w:rPr>
                <w:rFonts w:ascii="Aptos" w:hAnsi="Aptos"/>
                <w:b w:val="0"/>
                <w:sz w:val="15"/>
              </w:rPr>
              <w:t>Diagnostic regime</w:t>
            </w:r>
          </w:p>
        </w:tc>
        <w:tc>
          <w:tcPr>
            <w:tcW w:type="dxa" w:w="5040"/>
            <w:vAlign w:val="top"/>
          </w:tcPr>
          <w:p>
            <w:r/>
            <w:r>
              <w:rPr>
                <w:rFonts w:ascii="Aptos" w:hAnsi="Aptos"/>
                <w:b w:val="0"/>
                <w:sz w:val="15"/>
              </w:rPr>
              <w:t>Perfect-information/full-world oracle may be implemented only as a post hoc solvability/upper-bound diagnostic, never as a competitor.</w:t>
            </w:r>
          </w:p>
        </w:tc>
      </w:tr>
      <w:tr>
        <w:tc>
          <w:tcPr>
            <w:tcW w:type="dxa" w:w="5040"/>
            <w:vAlign w:val="top"/>
          </w:tcPr>
          <w:p>
            <w:r/>
            <w:r>
              <w:rPr>
                <w:rFonts w:ascii="Aptos" w:hAnsi="Aptos"/>
                <w:b w:val="0"/>
                <w:sz w:val="15"/>
              </w:rPr>
              <w:t>Core fairness rule</w:t>
            </w:r>
          </w:p>
        </w:tc>
        <w:tc>
          <w:tcPr>
            <w:tcW w:type="dxa" w:w="5040"/>
            <w:vAlign w:val="top"/>
          </w:tcPr>
          <w:p>
            <w:r/>
            <w:r>
              <w:rPr>
                <w:rFonts w:ascii="Aptos" w:hAnsi="Aptos"/>
                <w:b w:val="0"/>
                <w:sz w:val="15"/>
              </w:rPr>
              <w:t>Differences must arise from representation, projection, evaluation, memory use, and selection - not from privileged facts, richer actions, hidden world access, or deliberately crippled comparators.</w:t>
            </w:r>
          </w:p>
        </w:tc>
      </w:tr>
    </w:tbl>
    <w:p>
      <w:pPr>
        <w:spacing w:after="20"/>
      </w:pPr>
    </w:p>
    <w:p>
      <w:pPr>
        <w:pStyle w:val="Heading1"/>
      </w:pPr>
      <w:r>
        <w:t>1. Purpose and Scope</w:t>
      </w:r>
    </w:p>
    <w:p>
      <w:r>
        <w:t>This document freezes the intended controller boundary before code is written. It defines the common controller interface, the PV-PP conformance requirements, the two primary comparator families, memory/history access, planning horizons, computational-budget principles, proposal behavior, deterministic tie-breaking, failure handling, population design, and the tests required to establish that the comparison is structurally fair.</w:t>
      </w:r>
    </w:p>
    <w:p>
      <w:r>
        <w:t>It does not claim that any comparator is the best possible scalar or local controller. The benchmark requires competent, defensible alternatives strong enough that a PV-PP advantage would be informative and a PV-PP loss would be preserved rather than explained away.</w:t>
      </w:r>
    </w:p>
    <w:p>
      <w:pPr>
        <w:pStyle w:val="Heading1"/>
      </w:pPr>
      <w:r>
        <w:t>2. Common Controller Contract</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6"/>
              </w:rPr>
              <w:t>Input / output</w:t>
            </w:r>
          </w:p>
        </w:tc>
        <w:tc>
          <w:tcPr>
            <w:tcW w:type="dxa" w:w="5040"/>
            <w:vAlign w:val="top"/>
            <w:shd w:fill="D9E2F3"/>
          </w:tcPr>
          <w:p>
            <w:r/>
            <w:r>
              <w:rPr>
                <w:rFonts w:ascii="Aptos" w:hAnsi="Aptos"/>
                <w:b/>
                <w:sz w:val="16"/>
              </w:rPr>
              <w:t>Common requirement</w:t>
            </w:r>
          </w:p>
        </w:tc>
      </w:tr>
      <w:tr>
        <w:tc>
          <w:tcPr>
            <w:tcW w:type="dxa" w:w="5040"/>
            <w:vAlign w:val="top"/>
          </w:tcPr>
          <w:p>
            <w:r/>
            <w:r>
              <w:rPr>
                <w:rFonts w:ascii="Aptos" w:hAnsi="Aptos"/>
                <w:b w:val="0"/>
                <w:sz w:val="15"/>
              </w:rPr>
              <w:t>PRE packet</w:t>
            </w:r>
          </w:p>
        </w:tc>
        <w:tc>
          <w:tcPr>
            <w:tcW w:type="dxa" w:w="5040"/>
            <w:vAlign w:val="top"/>
          </w:tcPr>
          <w:p>
            <w:r/>
            <w:r>
              <w:rPr>
                <w:rFonts w:ascii="Aptos" w:hAnsi="Aptos"/>
                <w:b w:val="0"/>
                <w:sz w:val="15"/>
              </w:rPr>
              <w:t>Only the pre-decision packet defined in v0.3 may enter the controller. POST and ORACLE data are forbidden.</w:t>
            </w:r>
          </w:p>
        </w:tc>
      </w:tr>
      <w:tr>
        <w:tc>
          <w:tcPr>
            <w:tcW w:type="dxa" w:w="5040"/>
            <w:vAlign w:val="top"/>
          </w:tcPr>
          <w:p>
            <w:r/>
            <w:r>
              <w:rPr>
                <w:rFonts w:ascii="Aptos" w:hAnsi="Aptos"/>
                <w:b w:val="0"/>
                <w:sz w:val="15"/>
              </w:rPr>
              <w:t>Agent role</w:t>
            </w:r>
          </w:p>
        </w:tc>
        <w:tc>
          <w:tcPr>
            <w:tcW w:type="dxa" w:w="5040"/>
            <w:vAlign w:val="top"/>
          </w:tcPr>
          <w:p>
            <w:r/>
            <w:r>
              <w:rPr>
                <w:rFonts w:ascii="Aptos" w:hAnsi="Aptos"/>
                <w:b w:val="0"/>
                <w:sz w:val="15"/>
              </w:rPr>
              <w:t>Controller receives role identity and role-valid action schema.</w:t>
            </w:r>
          </w:p>
        </w:tc>
      </w:tr>
      <w:tr>
        <w:tc>
          <w:tcPr>
            <w:tcW w:type="dxa" w:w="5040"/>
            <w:vAlign w:val="top"/>
          </w:tcPr>
          <w:p>
            <w:r/>
            <w:r>
              <w:rPr>
                <w:rFonts w:ascii="Aptos" w:hAnsi="Aptos"/>
                <w:b w:val="0"/>
                <w:sz w:val="15"/>
              </w:rPr>
              <w:t>Persistent controller state</w:t>
            </w:r>
          </w:p>
        </w:tc>
        <w:tc>
          <w:tcPr>
            <w:tcW w:type="dxa" w:w="5040"/>
            <w:vAlign w:val="top"/>
          </w:tcPr>
          <w:p>
            <w:r/>
            <w:r>
              <w:rPr>
                <w:rFonts w:ascii="Aptos" w:hAnsi="Aptos"/>
                <w:b w:val="0"/>
                <w:sz w:val="15"/>
              </w:rPr>
              <w:t>Permitted, but must be serializable, replayable, and updated only from legitimate history.</w:t>
            </w:r>
          </w:p>
        </w:tc>
      </w:tr>
      <w:tr>
        <w:tc>
          <w:tcPr>
            <w:tcW w:type="dxa" w:w="5040"/>
            <w:vAlign w:val="top"/>
          </w:tcPr>
          <w:p>
            <w:r/>
            <w:r>
              <w:rPr>
                <w:rFonts w:ascii="Aptos" w:hAnsi="Aptos"/>
                <w:b w:val="0"/>
                <w:sz w:val="15"/>
              </w:rPr>
              <w:t>Known action/affordance surface</w:t>
            </w:r>
          </w:p>
        </w:tc>
        <w:tc>
          <w:tcPr>
            <w:tcW w:type="dxa" w:w="5040"/>
            <w:vAlign w:val="top"/>
          </w:tcPr>
          <w:p>
            <w:r/>
            <w:r>
              <w:rPr>
                <w:rFonts w:ascii="Aptos" w:hAnsi="Aptos"/>
                <w:b w:val="0"/>
                <w:sz w:val="15"/>
              </w:rPr>
              <w:t>Same legitimate world-side action families and contractual/institutional possibilities for matched histories.</w:t>
            </w:r>
          </w:p>
        </w:tc>
      </w:tr>
      <w:tr>
        <w:tc>
          <w:tcPr>
            <w:tcW w:type="dxa" w:w="5040"/>
            <w:vAlign w:val="top"/>
          </w:tcPr>
          <w:p>
            <w:r/>
            <w:r>
              <w:rPr>
                <w:rFonts w:ascii="Aptos" w:hAnsi="Aptos"/>
                <w:b w:val="0"/>
                <w:sz w:val="15"/>
              </w:rPr>
              <w:t>Proposal output</w:t>
            </w:r>
          </w:p>
        </w:tc>
        <w:tc>
          <w:tcPr>
            <w:tcW w:type="dxa" w:w="5040"/>
            <w:vAlign w:val="top"/>
          </w:tcPr>
          <w:p>
            <w:r/>
            <w:r>
              <w:rPr>
                <w:rFonts w:ascii="Aptos" w:hAnsi="Aptos"/>
                <w:b w:val="0"/>
                <w:sz w:val="15"/>
              </w:rPr>
              <w:t>Typed action/proposal objects defined by v0.4, including quantities, counterparties, terms, contingencies where allowed, and priority/order if the role can issue multiple actions.</w:t>
            </w:r>
          </w:p>
        </w:tc>
      </w:tr>
      <w:tr>
        <w:tc>
          <w:tcPr>
            <w:tcW w:type="dxa" w:w="5040"/>
            <w:vAlign w:val="top"/>
          </w:tcPr>
          <w:p>
            <w:r/>
            <w:r>
              <w:rPr>
                <w:rFonts w:ascii="Aptos" w:hAnsi="Aptos"/>
                <w:b w:val="0"/>
                <w:sz w:val="15"/>
              </w:rPr>
              <w:t>No-action output</w:t>
            </w:r>
          </w:p>
        </w:tc>
        <w:tc>
          <w:tcPr>
            <w:tcW w:type="dxa" w:w="5040"/>
            <w:vAlign w:val="top"/>
          </w:tcPr>
          <w:p>
            <w:r/>
            <w:r>
              <w:rPr>
                <w:rFonts w:ascii="Aptos" w:hAnsi="Aptos"/>
                <w:b w:val="0"/>
                <w:sz w:val="15"/>
              </w:rPr>
              <w:t>Explicitly valid. A controller may conserve, wait, or decline to propose.</w:t>
            </w:r>
          </w:p>
        </w:tc>
      </w:tr>
      <w:tr>
        <w:tc>
          <w:tcPr>
            <w:tcW w:type="dxa" w:w="5040"/>
            <w:vAlign w:val="top"/>
          </w:tcPr>
          <w:p>
            <w:r/>
            <w:r>
              <w:rPr>
                <w:rFonts w:ascii="Aptos" w:hAnsi="Aptos"/>
                <w:b w:val="0"/>
                <w:sz w:val="15"/>
              </w:rPr>
              <w:t>Uncertainty</w:t>
            </w:r>
          </w:p>
        </w:tc>
        <w:tc>
          <w:tcPr>
            <w:tcW w:type="dxa" w:w="5040"/>
            <w:vAlign w:val="top"/>
          </w:tcPr>
          <w:p>
            <w:r/>
            <w:r>
              <w:rPr>
                <w:rFonts w:ascii="Aptos" w:hAnsi="Aptos"/>
                <w:b w:val="0"/>
                <w:sz w:val="15"/>
              </w:rPr>
              <w:t>Controllers may represent uncertainty differently but may not receive hidden truth.</w:t>
            </w:r>
          </w:p>
        </w:tc>
      </w:tr>
      <w:tr>
        <w:tc>
          <w:tcPr>
            <w:tcW w:type="dxa" w:w="5040"/>
            <w:vAlign w:val="top"/>
          </w:tcPr>
          <w:p>
            <w:r/>
            <w:r>
              <w:rPr>
                <w:rFonts w:ascii="Aptos" w:hAnsi="Aptos"/>
                <w:b w:val="0"/>
                <w:sz w:val="15"/>
              </w:rPr>
              <w:t>Execution</w:t>
            </w:r>
          </w:p>
        </w:tc>
        <w:tc>
          <w:tcPr>
            <w:tcW w:type="dxa" w:w="5040"/>
            <w:vAlign w:val="top"/>
          </w:tcPr>
          <w:p>
            <w:r/>
            <w:r>
              <w:rPr>
                <w:rFonts w:ascii="Aptos" w:hAnsi="Aptos"/>
                <w:b w:val="0"/>
                <w:sz w:val="15"/>
              </w:rPr>
              <w:t>Controllers do not directly modify world state. They submit actions; the world resolves feasibility, counterpart acceptance, stochastic realization, and consequences.</w:t>
            </w:r>
          </w:p>
        </w:tc>
      </w:tr>
    </w:tbl>
    <w:p>
      <w:pPr>
        <w:spacing w:after="20"/>
      </w:pPr>
    </w:p>
    <w:p>
      <w:pPr>
        <w:pStyle w:val="Heading1"/>
      </w:pPr>
      <w:r>
        <w:t>3. Common Input Envelope</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6"/>
              </w:rPr>
              <w:t>Field</w:t>
            </w:r>
          </w:p>
        </w:tc>
        <w:tc>
          <w:tcPr>
            <w:tcW w:type="dxa" w:w="5040"/>
            <w:vAlign w:val="top"/>
            <w:shd w:fill="D9E2F3"/>
          </w:tcPr>
          <w:p>
            <w:r/>
            <w:r>
              <w:rPr>
                <w:rFonts w:ascii="Aptos" w:hAnsi="Aptos"/>
                <w:b/>
                <w:sz w:val="16"/>
              </w:rPr>
              <w:t>Meaning</w:t>
            </w:r>
          </w:p>
        </w:tc>
      </w:tr>
      <w:tr>
        <w:tc>
          <w:tcPr>
            <w:tcW w:type="dxa" w:w="5040"/>
            <w:vAlign w:val="top"/>
          </w:tcPr>
          <w:p>
            <w:r/>
            <w:r>
              <w:rPr>
                <w:rFonts w:ascii="Aptos" w:hAnsi="Aptos"/>
                <w:b w:val="0"/>
                <w:sz w:val="15"/>
              </w:rPr>
              <w:t>agent_id / role</w:t>
            </w:r>
          </w:p>
        </w:tc>
        <w:tc>
          <w:tcPr>
            <w:tcW w:type="dxa" w:w="5040"/>
            <w:vAlign w:val="top"/>
          </w:tcPr>
          <w:p>
            <w:r/>
            <w:r>
              <w:rPr>
                <w:rFonts w:ascii="Aptos" w:hAnsi="Aptos"/>
                <w:b w:val="0"/>
                <w:sz w:val="15"/>
              </w:rPr>
              <w:t>Stable agent and role.</w:t>
            </w:r>
          </w:p>
        </w:tc>
      </w:tr>
      <w:tr>
        <w:tc>
          <w:tcPr>
            <w:tcW w:type="dxa" w:w="5040"/>
            <w:vAlign w:val="top"/>
          </w:tcPr>
          <w:p>
            <w:r/>
            <w:r>
              <w:rPr>
                <w:rFonts w:ascii="Aptos" w:hAnsi="Aptos"/>
                <w:b w:val="0"/>
                <w:sz w:val="15"/>
              </w:rPr>
              <w:t>period / phase</w:t>
            </w:r>
          </w:p>
        </w:tc>
        <w:tc>
          <w:tcPr>
            <w:tcW w:type="dxa" w:w="5040"/>
            <w:vAlign w:val="top"/>
          </w:tcPr>
          <w:p>
            <w:r/>
            <w:r>
              <w:rPr>
                <w:rFonts w:ascii="Aptos" w:hAnsi="Aptos"/>
                <w:b w:val="0"/>
                <w:sz w:val="15"/>
              </w:rPr>
              <w:t>Decision timestamp.</w:t>
            </w:r>
          </w:p>
        </w:tc>
      </w:tr>
      <w:tr>
        <w:tc>
          <w:tcPr>
            <w:tcW w:type="dxa" w:w="5040"/>
            <w:vAlign w:val="top"/>
          </w:tcPr>
          <w:p>
            <w:r/>
            <w:r>
              <w:rPr>
                <w:rFonts w:ascii="Aptos" w:hAnsi="Aptos"/>
                <w:b w:val="0"/>
                <w:sz w:val="15"/>
              </w:rPr>
              <w:t>direct observations</w:t>
            </w:r>
          </w:p>
        </w:tc>
        <w:tc>
          <w:tcPr>
            <w:tcW w:type="dxa" w:w="5040"/>
            <w:vAlign w:val="top"/>
          </w:tcPr>
          <w:p>
            <w:r/>
            <w:r>
              <w:rPr>
                <w:rFonts w:ascii="Aptos" w:hAnsi="Aptos"/>
                <w:b w:val="0"/>
                <w:sz w:val="15"/>
              </w:rPr>
              <w:t>Role-legitimate owned/current observations.</w:t>
            </w:r>
          </w:p>
        </w:tc>
      </w:tr>
      <w:tr>
        <w:tc>
          <w:tcPr>
            <w:tcW w:type="dxa" w:w="5040"/>
            <w:vAlign w:val="top"/>
          </w:tcPr>
          <w:p>
            <w:r/>
            <w:r>
              <w:rPr>
                <w:rFonts w:ascii="Aptos" w:hAnsi="Aptos"/>
                <w:b w:val="0"/>
                <w:sz w:val="15"/>
              </w:rPr>
              <w:t>messages</w:t>
            </w:r>
          </w:p>
        </w:tc>
        <w:tc>
          <w:tcPr>
            <w:tcW w:type="dxa" w:w="5040"/>
            <w:vAlign w:val="top"/>
          </w:tcPr>
          <w:p>
            <w:r/>
            <w:r>
              <w:rPr>
                <w:rFonts w:ascii="Aptos" w:hAnsi="Aptos"/>
                <w:b w:val="0"/>
                <w:sz w:val="15"/>
              </w:rPr>
              <w:t>Received strategic/ordinary communications with provenance.</w:t>
            </w:r>
          </w:p>
        </w:tc>
      </w:tr>
      <w:tr>
        <w:tc>
          <w:tcPr>
            <w:tcW w:type="dxa" w:w="5040"/>
            <w:vAlign w:val="top"/>
          </w:tcPr>
          <w:p>
            <w:r/>
            <w:r>
              <w:rPr>
                <w:rFonts w:ascii="Aptos" w:hAnsi="Aptos"/>
                <w:b w:val="0"/>
                <w:sz w:val="15"/>
              </w:rPr>
              <w:t>contracts / commitments</w:t>
            </w:r>
          </w:p>
        </w:tc>
        <w:tc>
          <w:tcPr>
            <w:tcW w:type="dxa" w:w="5040"/>
            <w:vAlign w:val="top"/>
          </w:tcPr>
          <w:p>
            <w:r/>
            <w:r>
              <w:rPr>
                <w:rFonts w:ascii="Aptos" w:hAnsi="Aptos"/>
                <w:b w:val="0"/>
                <w:sz w:val="15"/>
              </w:rPr>
              <w:t>Current authoritative records.</w:t>
            </w:r>
          </w:p>
        </w:tc>
      </w:tr>
      <w:tr>
        <w:tc>
          <w:tcPr>
            <w:tcW w:type="dxa" w:w="5040"/>
            <w:vAlign w:val="top"/>
          </w:tcPr>
          <w:p>
            <w:r/>
            <w:r>
              <w:rPr>
                <w:rFonts w:ascii="Aptos" w:hAnsi="Aptos"/>
                <w:b w:val="0"/>
                <w:sz w:val="15"/>
              </w:rPr>
              <w:t>institutional notices</w:t>
            </w:r>
          </w:p>
        </w:tc>
        <w:tc>
          <w:tcPr>
            <w:tcW w:type="dxa" w:w="5040"/>
            <w:vAlign w:val="top"/>
          </w:tcPr>
          <w:p>
            <w:r/>
            <w:r>
              <w:rPr>
                <w:rFonts w:ascii="Aptos" w:hAnsi="Aptos"/>
                <w:b w:val="0"/>
                <w:sz w:val="15"/>
              </w:rPr>
              <w:t>Current R/L/T standing and permissions.</w:t>
            </w:r>
          </w:p>
        </w:tc>
      </w:tr>
      <w:tr>
        <w:tc>
          <w:tcPr>
            <w:tcW w:type="dxa" w:w="5040"/>
            <w:vAlign w:val="top"/>
          </w:tcPr>
          <w:p>
            <w:r/>
            <w:r>
              <w:rPr>
                <w:rFonts w:ascii="Aptos" w:hAnsi="Aptos"/>
                <w:b w:val="0"/>
                <w:sz w:val="15"/>
              </w:rPr>
              <w:t>execution history</w:t>
            </w:r>
          </w:p>
        </w:tc>
        <w:tc>
          <w:tcPr>
            <w:tcW w:type="dxa" w:w="5040"/>
            <w:vAlign w:val="top"/>
          </w:tcPr>
          <w:p>
            <w:r/>
            <w:r>
              <w:rPr>
                <w:rFonts w:ascii="Aptos" w:hAnsi="Aptos"/>
                <w:b w:val="0"/>
                <w:sz w:val="15"/>
              </w:rPr>
              <w:t>Prior realized local outcomes.</w:t>
            </w:r>
          </w:p>
        </w:tc>
      </w:tr>
      <w:tr>
        <w:tc>
          <w:tcPr>
            <w:tcW w:type="dxa" w:w="5040"/>
            <w:vAlign w:val="top"/>
          </w:tcPr>
          <w:p>
            <w:r/>
            <w:r>
              <w:rPr>
                <w:rFonts w:ascii="Aptos" w:hAnsi="Aptos"/>
                <w:b w:val="0"/>
                <w:sz w:val="15"/>
              </w:rPr>
              <w:t>raw eligible history</w:t>
            </w:r>
          </w:p>
        </w:tc>
        <w:tc>
          <w:tcPr>
            <w:tcW w:type="dxa" w:w="5040"/>
            <w:vAlign w:val="top"/>
          </w:tcPr>
          <w:p>
            <w:r/>
            <w:r>
              <w:rPr>
                <w:rFonts w:ascii="Aptos" w:hAnsi="Aptos"/>
                <w:b w:val="0"/>
                <w:sz w:val="15"/>
              </w:rPr>
              <w:t>Same legitimate historical evidence availability before controller-specific retrieval/compression.</w:t>
            </w:r>
          </w:p>
        </w:tc>
      </w:tr>
      <w:tr>
        <w:tc>
          <w:tcPr>
            <w:tcW w:type="dxa" w:w="5040"/>
            <w:vAlign w:val="top"/>
          </w:tcPr>
          <w:p>
            <w:r/>
            <w:r>
              <w:rPr>
                <w:rFonts w:ascii="Aptos" w:hAnsi="Aptos"/>
                <w:b w:val="0"/>
                <w:sz w:val="15"/>
              </w:rPr>
              <w:t>uncertainty metadata</w:t>
            </w:r>
          </w:p>
        </w:tc>
        <w:tc>
          <w:tcPr>
            <w:tcW w:type="dxa" w:w="5040"/>
            <w:vAlign w:val="top"/>
          </w:tcPr>
          <w:p>
            <w:r/>
            <w:r>
              <w:rPr>
                <w:rFonts w:ascii="Aptos" w:hAnsi="Aptos"/>
                <w:b w:val="0"/>
                <w:sz w:val="15"/>
              </w:rPr>
              <w:t>Freshness, source, confidence basis, dispute/correction status.</w:t>
            </w:r>
          </w:p>
        </w:tc>
      </w:tr>
      <w:tr>
        <w:tc>
          <w:tcPr>
            <w:tcW w:type="dxa" w:w="5040"/>
            <w:vAlign w:val="top"/>
          </w:tcPr>
          <w:p>
            <w:r/>
            <w:r>
              <w:rPr>
                <w:rFonts w:ascii="Aptos" w:hAnsi="Aptos"/>
                <w:b w:val="0"/>
                <w:sz w:val="15"/>
              </w:rPr>
              <w:t>licensed affordances</w:t>
            </w:r>
          </w:p>
        </w:tc>
        <w:tc>
          <w:tcPr>
            <w:tcW w:type="dxa" w:w="5040"/>
            <w:vAlign w:val="top"/>
          </w:tcPr>
          <w:p>
            <w:r/>
            <w:r>
              <w:rPr>
                <w:rFonts w:ascii="Aptos" w:hAnsi="Aptos"/>
                <w:b w:val="0"/>
                <w:sz w:val="15"/>
              </w:rPr>
              <w:t>Known/latent/uncertain/blocked pathway evidence, without oracle completion.</w:t>
            </w:r>
          </w:p>
        </w:tc>
      </w:tr>
      <w:tr>
        <w:tc>
          <w:tcPr>
            <w:tcW w:type="dxa" w:w="5040"/>
            <w:vAlign w:val="top"/>
          </w:tcPr>
          <w:p>
            <w:r/>
            <w:r>
              <w:rPr>
                <w:rFonts w:ascii="Aptos" w:hAnsi="Aptos"/>
                <w:b w:val="0"/>
                <w:sz w:val="15"/>
              </w:rPr>
              <w:t>resource/action schema</w:t>
            </w:r>
          </w:p>
        </w:tc>
        <w:tc>
          <w:tcPr>
            <w:tcW w:type="dxa" w:w="5040"/>
            <w:vAlign w:val="top"/>
          </w:tcPr>
          <w:p>
            <w:r/>
            <w:r>
              <w:rPr>
                <w:rFonts w:ascii="Aptos" w:hAnsi="Aptos"/>
                <w:b w:val="0"/>
                <w:sz w:val="15"/>
              </w:rPr>
              <w:t>Machine-readable permitted action types and parameter bounds, not a recommendation.</w:t>
            </w:r>
          </w:p>
        </w:tc>
      </w:tr>
    </w:tbl>
    <w:p>
      <w:pPr>
        <w:spacing w:after="20"/>
      </w:pPr>
    </w:p>
    <w:p>
      <w:pPr>
        <w:pStyle w:val="Heading1"/>
      </w:pPr>
      <w:r>
        <w:t>4. Common Output Envelope</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6"/>
              </w:rPr>
              <w:t>Field</w:t>
            </w:r>
          </w:p>
        </w:tc>
        <w:tc>
          <w:tcPr>
            <w:tcW w:type="dxa" w:w="5040"/>
            <w:vAlign w:val="top"/>
            <w:shd w:fill="D9E2F3"/>
          </w:tcPr>
          <w:p>
            <w:r/>
            <w:r>
              <w:rPr>
                <w:rFonts w:ascii="Aptos" w:hAnsi="Aptos"/>
                <w:b/>
                <w:sz w:val="16"/>
              </w:rPr>
              <w:t>Rule</w:t>
            </w:r>
          </w:p>
        </w:tc>
      </w:tr>
      <w:tr>
        <w:tc>
          <w:tcPr>
            <w:tcW w:type="dxa" w:w="5040"/>
            <w:vAlign w:val="top"/>
          </w:tcPr>
          <w:p>
            <w:r/>
            <w:r>
              <w:rPr>
                <w:rFonts w:ascii="Aptos" w:hAnsi="Aptos"/>
                <w:b w:val="0"/>
                <w:sz w:val="15"/>
              </w:rPr>
              <w:t>action_family</w:t>
            </w:r>
          </w:p>
        </w:tc>
        <w:tc>
          <w:tcPr>
            <w:tcW w:type="dxa" w:w="5040"/>
            <w:vAlign w:val="top"/>
          </w:tcPr>
          <w:p>
            <w:r/>
            <w:r>
              <w:rPr>
                <w:rFonts w:ascii="Aptos" w:hAnsi="Aptos"/>
                <w:b w:val="0"/>
                <w:sz w:val="15"/>
              </w:rPr>
              <w:t>Must map to a frozen v0.4 action family.</w:t>
            </w:r>
          </w:p>
        </w:tc>
      </w:tr>
      <w:tr>
        <w:tc>
          <w:tcPr>
            <w:tcW w:type="dxa" w:w="5040"/>
            <w:vAlign w:val="top"/>
          </w:tcPr>
          <w:p>
            <w:r/>
            <w:r>
              <w:rPr>
                <w:rFonts w:ascii="Aptos" w:hAnsi="Aptos"/>
                <w:b w:val="0"/>
                <w:sz w:val="15"/>
              </w:rPr>
              <w:t>parameters</w:t>
            </w:r>
          </w:p>
        </w:tc>
        <w:tc>
          <w:tcPr>
            <w:tcW w:type="dxa" w:w="5040"/>
            <w:vAlign w:val="top"/>
          </w:tcPr>
          <w:p>
            <w:r/>
            <w:r>
              <w:rPr>
                <w:rFonts w:ascii="Aptos" w:hAnsi="Aptos"/>
                <w:b w:val="0"/>
                <w:sz w:val="15"/>
              </w:rPr>
              <w:t>Quantities, timing, counterpart, price/terms, inspection level, financing amount, etc.</w:t>
            </w:r>
          </w:p>
        </w:tc>
      </w:tr>
      <w:tr>
        <w:tc>
          <w:tcPr>
            <w:tcW w:type="dxa" w:w="5040"/>
            <w:vAlign w:val="top"/>
          </w:tcPr>
          <w:p>
            <w:r/>
            <w:r>
              <w:rPr>
                <w:rFonts w:ascii="Aptos" w:hAnsi="Aptos"/>
                <w:b w:val="0"/>
                <w:sz w:val="15"/>
              </w:rPr>
              <w:t>conditions</w:t>
            </w:r>
          </w:p>
        </w:tc>
        <w:tc>
          <w:tcPr>
            <w:tcW w:type="dxa" w:w="5040"/>
            <w:vAlign w:val="top"/>
          </w:tcPr>
          <w:p>
            <w:r/>
            <w:r>
              <w:rPr>
                <w:rFonts w:ascii="Aptos" w:hAnsi="Aptos"/>
                <w:b w:val="0"/>
                <w:sz w:val="15"/>
              </w:rPr>
              <w:t>Only conditionals supported by the frozen action grammar.</w:t>
            </w:r>
          </w:p>
        </w:tc>
      </w:tr>
      <w:tr>
        <w:tc>
          <w:tcPr>
            <w:tcW w:type="dxa" w:w="5040"/>
            <w:vAlign w:val="top"/>
          </w:tcPr>
          <w:p>
            <w:r/>
            <w:r>
              <w:rPr>
                <w:rFonts w:ascii="Aptos" w:hAnsi="Aptos"/>
                <w:b w:val="0"/>
                <w:sz w:val="15"/>
              </w:rPr>
              <w:t>proposal_rank</w:t>
            </w:r>
          </w:p>
        </w:tc>
        <w:tc>
          <w:tcPr>
            <w:tcW w:type="dxa" w:w="5040"/>
            <w:vAlign w:val="top"/>
          </w:tcPr>
          <w:p>
            <w:r/>
            <w:r>
              <w:rPr>
                <w:rFonts w:ascii="Aptos" w:hAnsi="Aptos"/>
                <w:b w:val="0"/>
                <w:sz w:val="15"/>
              </w:rPr>
              <w:t>If multiple proposals are permitted, controller supplies a deterministic ordering.</w:t>
            </w:r>
          </w:p>
        </w:tc>
      </w:tr>
      <w:tr>
        <w:tc>
          <w:tcPr>
            <w:tcW w:type="dxa" w:w="5040"/>
            <w:vAlign w:val="top"/>
          </w:tcPr>
          <w:p>
            <w:r/>
            <w:r>
              <w:rPr>
                <w:rFonts w:ascii="Aptos" w:hAnsi="Aptos"/>
                <w:b w:val="0"/>
                <w:sz w:val="15"/>
              </w:rPr>
              <w:t>decline_reason</w:t>
            </w:r>
          </w:p>
        </w:tc>
        <w:tc>
          <w:tcPr>
            <w:tcW w:type="dxa" w:w="5040"/>
            <w:vAlign w:val="top"/>
          </w:tcPr>
          <w:p>
            <w:r/>
            <w:r>
              <w:rPr>
                <w:rFonts w:ascii="Aptos" w:hAnsi="Aptos"/>
                <w:b w:val="0"/>
                <w:sz w:val="15"/>
              </w:rPr>
              <w:t>Optional controller diagnostic; cannot alter execution.</w:t>
            </w:r>
          </w:p>
        </w:tc>
      </w:tr>
      <w:tr>
        <w:tc>
          <w:tcPr>
            <w:tcW w:type="dxa" w:w="5040"/>
            <w:vAlign w:val="top"/>
          </w:tcPr>
          <w:p>
            <w:r/>
            <w:r>
              <w:rPr>
                <w:rFonts w:ascii="Aptos" w:hAnsi="Aptos"/>
                <w:b w:val="0"/>
                <w:sz w:val="15"/>
              </w:rPr>
              <w:t>internal trace pointer</w:t>
            </w:r>
          </w:p>
        </w:tc>
        <w:tc>
          <w:tcPr>
            <w:tcW w:type="dxa" w:w="5040"/>
            <w:vAlign w:val="top"/>
          </w:tcPr>
          <w:p>
            <w:r/>
            <w:r>
              <w:rPr>
                <w:rFonts w:ascii="Aptos" w:hAnsi="Aptos"/>
                <w:b w:val="0"/>
                <w:sz w:val="15"/>
              </w:rPr>
              <w:t>Reference to archived controller reasoning state sufficient for conformance review, without requiring publication of hidden chain-of-thought.</w:t>
            </w:r>
          </w:p>
        </w:tc>
      </w:tr>
      <w:tr>
        <w:tc>
          <w:tcPr>
            <w:tcW w:type="dxa" w:w="5040"/>
            <w:vAlign w:val="top"/>
          </w:tcPr>
          <w:p>
            <w:r/>
            <w:r>
              <w:rPr>
                <w:rFonts w:ascii="Aptos" w:hAnsi="Aptos"/>
                <w:b w:val="0"/>
                <w:sz w:val="15"/>
              </w:rPr>
              <w:t>fallback</w:t>
            </w:r>
          </w:p>
        </w:tc>
        <w:tc>
          <w:tcPr>
            <w:tcW w:type="dxa" w:w="5040"/>
            <w:vAlign w:val="top"/>
          </w:tcPr>
          <w:p>
            <w:r/>
            <w:r>
              <w:rPr>
                <w:rFonts w:ascii="Aptos" w:hAnsi="Aptos"/>
                <w:b w:val="0"/>
                <w:sz w:val="15"/>
              </w:rPr>
              <w:t>Optional pre-frozen fallback action if a proposal is rejected and the world permits same-phase fallback.</w:t>
            </w:r>
          </w:p>
        </w:tc>
      </w:tr>
    </w:tbl>
    <w:p>
      <w:pPr>
        <w:spacing w:after="20"/>
      </w:pPr>
    </w:p>
    <w:p>
      <w:pPr>
        <w:pStyle w:val="Heading1"/>
      </w:pPr>
      <w:r>
        <w:t>5. Information Parity</w:t>
      </w:r>
    </w:p>
    <w:p>
      <w:pPr>
        <w:pStyle w:val="ListBullet"/>
        <w:spacing w:after="20"/>
      </w:pPr>
      <w:r>
        <w:t>For matched agent/world histories, the canonical raw evidence event IDs available before controller adaptation must be identical across A, B, and C.</w:t>
      </w:r>
    </w:p>
    <w:p>
      <w:pPr>
        <w:pStyle w:val="ListBullet"/>
        <w:spacing w:after="20"/>
      </w:pPr>
      <w:r>
        <w:t>PV-PP may use typed memory and its canonical substrate/completeness machinery; scalar and local controllers may encode the same history in competent alternative forms.</w:t>
      </w:r>
    </w:p>
    <w:p>
      <w:pPr>
        <w:pStyle w:val="ListBullet"/>
        <w:spacing w:after="20"/>
      </w:pPr>
      <w:r>
        <w:t>No controller receives actual S1/S2 PP, future random draws, evaluator recovery status, or oracle reachability.</w:t>
      </w:r>
    </w:p>
    <w:p>
      <w:pPr>
        <w:pStyle w:val="ListBullet"/>
        <w:spacing w:after="20"/>
      </w:pPr>
      <w:r>
        <w:t>No comparator is denied a known S2 qualification path merely because it lacks PV-PP Graph/Pi terminology.</w:t>
      </w:r>
    </w:p>
    <w:p>
      <w:pPr>
        <w:pStyle w:val="ListBullet"/>
        <w:spacing w:after="20"/>
      </w:pPr>
      <w:r>
        <w:t>Later execution differences will naturally cause later evidence histories to diverge. Parity applies to matched histories, not to counterfactual worlds after controllers choose different actions.</w:t>
      </w:r>
    </w:p>
    <w:p>
      <w:pPr>
        <w:pStyle w:val="Heading1"/>
      </w:pPr>
      <w:r>
        <w:t>6. Regime A - Frozen Canonical PV-PP</w:t>
      </w:r>
    </w:p>
    <w:p>
      <w:r>
        <w:t>The PV-PP controller must implement the current canonical Layer 2 operator order without benchmark-specific repair operators:</w:t>
      </w:r>
    </w:p>
    <w:p>
      <w:pPr>
        <w:jc w:val="center"/>
      </w:pPr>
      <w:r>
        <w:rPr>
          <w:b/>
        </w:rPr>
        <w:t>PPP -&gt; Phi -&gt; H -&gt; G -&gt; R -&gt; Graph/seed substrate -&gt; Pi -&gt; Pi-completeness validation -&gt; Constraints -&gt; Domain Framing -&gt; Adequacy -&gt; Sigma -&gt; epsilon</w:t>
      </w:r>
    </w:p>
    <w:p>
      <w:r>
        <w:t>Names/symbols follow the project's canonical operator stack. The benchmark adapter may translate world records into required inputs, but may not alter operator semantics to improve benchmark performance.</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6"/>
              </w:rPr>
              <w:t>PV-PP requirement</w:t>
            </w:r>
          </w:p>
        </w:tc>
        <w:tc>
          <w:tcPr>
            <w:tcW w:type="dxa" w:w="5040"/>
            <w:vAlign w:val="top"/>
            <w:shd w:fill="D9E2F3"/>
          </w:tcPr>
          <w:p>
            <w:r/>
            <w:r>
              <w:rPr>
                <w:rFonts w:ascii="Aptos" w:hAnsi="Aptos"/>
                <w:b/>
                <w:sz w:val="16"/>
              </w:rPr>
              <w:t>Benchmark conformance rule</w:t>
            </w:r>
          </w:p>
        </w:tc>
      </w:tr>
      <w:tr>
        <w:tc>
          <w:tcPr>
            <w:tcW w:type="dxa" w:w="5040"/>
            <w:vAlign w:val="top"/>
          </w:tcPr>
          <w:p>
            <w:r/>
            <w:r>
              <w:rPr>
                <w:rFonts w:ascii="Aptos" w:hAnsi="Aptos"/>
                <w:b w:val="0"/>
                <w:sz w:val="15"/>
              </w:rPr>
              <w:t>PPP, not actual PP</w:t>
            </w:r>
          </w:p>
        </w:tc>
        <w:tc>
          <w:tcPr>
            <w:tcW w:type="dxa" w:w="5040"/>
            <w:vAlign w:val="top"/>
          </w:tcPr>
          <w:p>
            <w:r/>
            <w:r>
              <w:rPr>
                <w:rFonts w:ascii="Aptos" w:hAnsi="Aptos"/>
                <w:b w:val="0"/>
                <w:sz w:val="15"/>
              </w:rPr>
              <w:t>All perceived productive state is derived from PRE evidence, memory retrieval, K, and licensed records.</w:t>
            </w:r>
          </w:p>
        </w:tc>
      </w:tr>
      <w:tr>
        <w:tc>
          <w:tcPr>
            <w:tcW w:type="dxa" w:w="5040"/>
            <w:vAlign w:val="top"/>
          </w:tcPr>
          <w:p>
            <w:r/>
            <w:r>
              <w:rPr>
                <w:rFonts w:ascii="Aptos" w:hAnsi="Aptos"/>
                <w:b w:val="0"/>
                <w:sz w:val="15"/>
              </w:rPr>
              <w:t>Phi / H / G / R</w:t>
            </w:r>
          </w:p>
        </w:tc>
        <w:tc>
          <w:tcPr>
            <w:tcW w:type="dxa" w:w="5040"/>
            <w:vAlign w:val="top"/>
          </w:tcPr>
          <w:p>
            <w:r/>
            <w:r>
              <w:rPr>
                <w:rFonts w:ascii="Aptos" w:hAnsi="Aptos"/>
                <w:b w:val="0"/>
                <w:sz w:val="15"/>
              </w:rPr>
              <w:t>Use frozen canonical meanings and ordering; no downstream stage may silently repair an upstream defect.</w:t>
            </w:r>
          </w:p>
        </w:tc>
      </w:tr>
      <w:tr>
        <w:tc>
          <w:tcPr>
            <w:tcW w:type="dxa" w:w="5040"/>
            <w:vAlign w:val="top"/>
          </w:tcPr>
          <w:p>
            <w:r/>
            <w:r>
              <w:rPr>
                <w:rFonts w:ascii="Aptos" w:hAnsi="Aptos"/>
                <w:b w:val="0"/>
                <w:sz w:val="15"/>
              </w:rPr>
              <w:t>Graph / substrate</w:t>
            </w:r>
          </w:p>
        </w:tc>
        <w:tc>
          <w:tcPr>
            <w:tcW w:type="dxa" w:w="5040"/>
            <w:vAlign w:val="top"/>
          </w:tcPr>
          <w:p>
            <w:r/>
            <w:r>
              <w:rPr>
                <w:rFonts w:ascii="Aptos" w:hAnsi="Aptos"/>
                <w:b w:val="0"/>
                <w:sz w:val="15"/>
              </w:rPr>
              <w:t>Agent-licensed productive structure only. World oracle graph is prohibited.</w:t>
            </w:r>
          </w:p>
        </w:tc>
      </w:tr>
      <w:tr>
        <w:tc>
          <w:tcPr>
            <w:tcW w:type="dxa" w:w="5040"/>
            <w:vAlign w:val="top"/>
          </w:tcPr>
          <w:p>
            <w:r/>
            <w:r>
              <w:rPr>
                <w:rFonts w:ascii="Aptos" w:hAnsi="Aptos"/>
                <w:b w:val="0"/>
                <w:sz w:val="15"/>
              </w:rPr>
              <w:t>Pi</w:t>
            </w:r>
          </w:p>
        </w:tc>
        <w:tc>
          <w:tcPr>
            <w:tcW w:type="dxa" w:w="5040"/>
            <w:vAlign w:val="top"/>
          </w:tcPr>
          <w:p>
            <w:r/>
            <w:r>
              <w:rPr>
                <w:rFonts w:ascii="Aptos" w:hAnsi="Aptos"/>
                <w:b w:val="0"/>
                <w:sz w:val="15"/>
              </w:rPr>
              <w:t>Candidate-policy construction from the licensed substrate and current state.</w:t>
            </w:r>
          </w:p>
        </w:tc>
      </w:tr>
      <w:tr>
        <w:tc>
          <w:tcPr>
            <w:tcW w:type="dxa" w:w="5040"/>
            <w:vAlign w:val="top"/>
          </w:tcPr>
          <w:p>
            <w:r/>
            <w:r>
              <w:rPr>
                <w:rFonts w:ascii="Aptos" w:hAnsi="Aptos"/>
                <w:b w:val="0"/>
                <w:sz w:val="15"/>
              </w:rPr>
              <w:t>Pi completeness</w:t>
            </w:r>
          </w:p>
        </w:tc>
        <w:tc>
          <w:tcPr>
            <w:tcW w:type="dxa" w:w="5040"/>
            <w:vAlign w:val="top"/>
          </w:tcPr>
          <w:p>
            <w:r/>
            <w:r>
              <w:rPr>
                <w:rFonts w:ascii="Aptos" w:hAnsi="Aptos"/>
                <w:b w:val="0"/>
                <w:sz w:val="15"/>
              </w:rPr>
              <w:t>May challenge materially omitted known/latent/uncertain families; may not invent truly unknown hidden paths.</w:t>
            </w:r>
          </w:p>
        </w:tc>
      </w:tr>
      <w:tr>
        <w:tc>
          <w:tcPr>
            <w:tcW w:type="dxa" w:w="5040"/>
            <w:vAlign w:val="top"/>
          </w:tcPr>
          <w:p>
            <w:r/>
            <w:r>
              <w:rPr>
                <w:rFonts w:ascii="Aptos" w:hAnsi="Aptos"/>
                <w:b w:val="0"/>
                <w:sz w:val="15"/>
              </w:rPr>
              <w:t>Constraints</w:t>
            </w:r>
          </w:p>
        </w:tc>
        <w:tc>
          <w:tcPr>
            <w:tcW w:type="dxa" w:w="5040"/>
            <w:vAlign w:val="top"/>
          </w:tcPr>
          <w:p>
            <w:r/>
            <w:r>
              <w:rPr>
                <w:rFonts w:ascii="Aptos" w:hAnsi="Aptos"/>
                <w:b w:val="0"/>
                <w:sz w:val="15"/>
              </w:rPr>
              <w:t>Apply hard feasibility/permission constraints according to canonical rules and perceived/projected state.</w:t>
            </w:r>
          </w:p>
        </w:tc>
      </w:tr>
      <w:tr>
        <w:tc>
          <w:tcPr>
            <w:tcW w:type="dxa" w:w="5040"/>
            <w:vAlign w:val="top"/>
          </w:tcPr>
          <w:p>
            <w:r/>
            <w:r>
              <w:rPr>
                <w:rFonts w:ascii="Aptos" w:hAnsi="Aptos"/>
                <w:b w:val="0"/>
                <w:sz w:val="15"/>
              </w:rPr>
              <w:t>Domain framing</w:t>
            </w:r>
          </w:p>
        </w:tc>
        <w:tc>
          <w:tcPr>
            <w:tcW w:type="dxa" w:w="5040"/>
            <w:vAlign w:val="top"/>
          </w:tcPr>
          <w:p>
            <w:r/>
            <w:r>
              <w:rPr>
                <w:rFonts w:ascii="Aptos" w:hAnsi="Aptos"/>
                <w:b w:val="0"/>
                <w:sz w:val="15"/>
              </w:rPr>
              <w:t>Preserve heterogeneous domain structure; do not collapse to benchmark outcome score.</w:t>
            </w:r>
          </w:p>
        </w:tc>
      </w:tr>
      <w:tr>
        <w:tc>
          <w:tcPr>
            <w:tcW w:type="dxa" w:w="5040"/>
            <w:vAlign w:val="top"/>
          </w:tcPr>
          <w:p>
            <w:r/>
            <w:r>
              <w:rPr>
                <w:rFonts w:ascii="Aptos" w:hAnsi="Aptos"/>
                <w:b w:val="0"/>
                <w:sz w:val="15"/>
              </w:rPr>
              <w:t>Restoration adequacy</w:t>
            </w:r>
          </w:p>
        </w:tc>
        <w:tc>
          <w:tcPr>
            <w:tcW w:type="dxa" w:w="5040"/>
            <w:vAlign w:val="top"/>
          </w:tcPr>
          <w:p>
            <w:r/>
            <w:r>
              <w:rPr>
                <w:rFonts w:ascii="Aptos" w:hAnsi="Aptos"/>
                <w:b w:val="0"/>
                <w:sz w:val="15"/>
              </w:rPr>
              <w:t>Evaluate sustainable recovery/continuation under the canonical adequacy architecture using licensed projections, not evaluator truth.</w:t>
            </w:r>
          </w:p>
        </w:tc>
      </w:tr>
      <w:tr>
        <w:tc>
          <w:tcPr>
            <w:tcW w:type="dxa" w:w="5040"/>
            <w:vAlign w:val="top"/>
          </w:tcPr>
          <w:p>
            <w:r/>
            <w:r>
              <w:rPr>
                <w:rFonts w:ascii="Aptos" w:hAnsi="Aptos"/>
                <w:b w:val="0"/>
                <w:sz w:val="15"/>
              </w:rPr>
              <w:t>Sigma</w:t>
            </w:r>
          </w:p>
        </w:tc>
        <w:tc>
          <w:tcPr>
            <w:tcW w:type="dxa" w:w="5040"/>
            <w:vAlign w:val="top"/>
          </w:tcPr>
          <w:p>
            <w:r/>
            <w:r>
              <w:rPr>
                <w:rFonts w:ascii="Aptos" w:hAnsi="Aptos"/>
                <w:b w:val="0"/>
                <w:sz w:val="15"/>
              </w:rPr>
              <w:t>Non-scalar policy selection under the frozen canonical selection architecture.</w:t>
            </w:r>
          </w:p>
        </w:tc>
      </w:tr>
      <w:tr>
        <w:tc>
          <w:tcPr>
            <w:tcW w:type="dxa" w:w="5040"/>
            <w:vAlign w:val="top"/>
          </w:tcPr>
          <w:p>
            <w:r/>
            <w:r>
              <w:rPr>
                <w:rFonts w:ascii="Aptos" w:hAnsi="Aptos"/>
                <w:b w:val="0"/>
                <w:sz w:val="15"/>
              </w:rPr>
              <w:t>epsilon</w:t>
            </w:r>
          </w:p>
        </w:tc>
        <w:tc>
          <w:tcPr>
            <w:tcW w:type="dxa" w:w="5040"/>
            <w:vAlign w:val="top"/>
          </w:tcPr>
          <w:p>
            <w:r/>
            <w:r>
              <w:rPr>
                <w:rFonts w:ascii="Aptos" w:hAnsi="Aptos"/>
                <w:b w:val="0"/>
                <w:sz w:val="15"/>
              </w:rPr>
              <w:t>World execution/realization remains separate; epsilon cannot rewrite prior perception or projection.</w:t>
            </w:r>
          </w:p>
        </w:tc>
      </w:tr>
    </w:tbl>
    <w:p>
      <w:pPr>
        <w:spacing w:after="20"/>
      </w:pPr>
    </w:p>
    <w:p>
      <w:pPr>
        <w:pStyle w:val="Heading1"/>
      </w:pPr>
      <w:r>
        <w:t>7. PV-PP Benchmark Adapter Boundary</w:t>
      </w:r>
    </w:p>
    <w:p>
      <w:pPr>
        <w:pStyle w:val="ListBullet"/>
        <w:spacing w:after="20"/>
      </w:pPr>
      <w:r>
        <w:t>The adapter may convert units and record formats into canonical typed inputs.</w:t>
      </w:r>
    </w:p>
    <w:p>
      <w:pPr>
        <w:pStyle w:val="ListBullet"/>
        <w:spacing w:after="20"/>
      </w:pPr>
      <w:r>
        <w:t>It may not create new canonical operators, weights, thresholds, trust scores, or recovery rules merely for Asterion.</w:t>
      </w:r>
    </w:p>
    <w:p>
      <w:pPr>
        <w:pStyle w:val="ListBullet"/>
        <w:spacing w:after="20"/>
      </w:pPr>
      <w:r>
        <w:t>Benchmark-owned thresholds may appear as world facts/constraints when legitimately observed; they do not become universal PV-PP constants.</w:t>
      </w:r>
    </w:p>
    <w:p>
      <w:pPr>
        <w:pStyle w:val="ListBullet"/>
        <w:spacing w:after="20"/>
      </w:pPr>
      <w:r>
        <w:t>If a canonical operator is underspecified for an in-scope decision, record a formalization gap rather than improvising a favorable implementation.</w:t>
      </w:r>
    </w:p>
    <w:p>
      <w:pPr>
        <w:pStyle w:val="ListBullet"/>
        <w:spacing w:after="20"/>
      </w:pPr>
      <w:r>
        <w:t>If two reasonable implementations of a canonical operator materially differ, freeze both as a sensitivity or stop and resolve the formalization before primary execution.</w:t>
      </w:r>
    </w:p>
    <w:p>
      <w:pPr>
        <w:pStyle w:val="Heading1"/>
      </w:pPr>
      <w:r>
        <w:t>8. PV-PP Memory and Retrieval</w:t>
      </w:r>
    </w:p>
    <w:p>
      <w:r>
        <w:t>PV-PP receives the typed relational memory architecture specified in v0.3. Retrieval is bounded. Stored memory, retrieved reconstruction, K, present PPP, and confidence/reliability metadata remain distinct.</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6"/>
              </w:rPr>
              <w:t>Item</w:t>
            </w:r>
          </w:p>
        </w:tc>
        <w:tc>
          <w:tcPr>
            <w:tcW w:type="dxa" w:w="5040"/>
            <w:vAlign w:val="top"/>
            <w:shd w:fill="D9E2F3"/>
          </w:tcPr>
          <w:p>
            <w:r/>
            <w:r>
              <w:rPr>
                <w:rFonts w:ascii="Aptos" w:hAnsi="Aptos"/>
                <w:b/>
                <w:sz w:val="16"/>
              </w:rPr>
              <w:t>v0.5 proposed rule</w:t>
            </w:r>
          </w:p>
        </w:tc>
      </w:tr>
      <w:tr>
        <w:tc>
          <w:tcPr>
            <w:tcW w:type="dxa" w:w="5040"/>
            <w:vAlign w:val="top"/>
          </w:tcPr>
          <w:p>
            <w:r/>
            <w:r>
              <w:rPr>
                <w:rFonts w:ascii="Aptos" w:hAnsi="Aptos"/>
                <w:b w:val="0"/>
                <w:sz w:val="15"/>
              </w:rPr>
              <w:t>Stored history</w:t>
            </w:r>
          </w:p>
        </w:tc>
        <w:tc>
          <w:tcPr>
            <w:tcW w:type="dxa" w:w="5040"/>
            <w:vAlign w:val="top"/>
          </w:tcPr>
          <w:p>
            <w:r/>
            <w:r>
              <w:rPr>
                <w:rFonts w:ascii="Aptos" w:hAnsi="Aptos"/>
                <w:b w:val="0"/>
                <w:sz w:val="15"/>
              </w:rPr>
              <w:t>All role-legitimate events, typed and provenance-preserving.</w:t>
            </w:r>
          </w:p>
        </w:tc>
      </w:tr>
      <w:tr>
        <w:tc>
          <w:tcPr>
            <w:tcW w:type="dxa" w:w="5040"/>
            <w:vAlign w:val="top"/>
          </w:tcPr>
          <w:p>
            <w:r/>
            <w:r>
              <w:rPr>
                <w:rFonts w:ascii="Aptos" w:hAnsi="Aptos"/>
                <w:b w:val="0"/>
                <w:sz w:val="15"/>
              </w:rPr>
              <w:t>Retrieval budget</w:t>
            </w:r>
          </w:p>
        </w:tc>
        <w:tc>
          <w:tcPr>
            <w:tcW w:type="dxa" w:w="5040"/>
            <w:vAlign w:val="top"/>
          </w:tcPr>
          <w:p>
            <w:r/>
            <w:r>
              <w:rPr>
                <w:rFonts w:ascii="Aptos" w:hAnsi="Aptos"/>
                <w:b w:val="0"/>
                <w:sz w:val="15"/>
              </w:rPr>
              <w:t>Maximum 12 memory episodes per decision cycle plus up to 4 explicit correction-linked records. This is a benchmark computational fixture, subject to pre-freeze calibration.</w:t>
            </w:r>
          </w:p>
        </w:tc>
      </w:tr>
      <w:tr>
        <w:tc>
          <w:tcPr>
            <w:tcW w:type="dxa" w:w="5040"/>
            <w:vAlign w:val="top"/>
          </w:tcPr>
          <w:p>
            <w:r/>
            <w:r>
              <w:rPr>
                <w:rFonts w:ascii="Aptos" w:hAnsi="Aptos"/>
                <w:b w:val="0"/>
                <w:sz w:val="15"/>
              </w:rPr>
              <w:t>Cue families</w:t>
            </w:r>
          </w:p>
        </w:tc>
        <w:tc>
          <w:tcPr>
            <w:tcW w:type="dxa" w:w="5040"/>
            <w:vAlign w:val="top"/>
          </w:tcPr>
          <w:p>
            <w:r/>
            <w:r>
              <w:rPr>
                <w:rFonts w:ascii="Aptos" w:hAnsi="Aptos"/>
                <w:b w:val="0"/>
                <w:sz w:val="15"/>
              </w:rPr>
              <w:t>Current counterpart, active commitment, current domain pressure, action family under consideration, and current contradictory evidence.</w:t>
            </w:r>
          </w:p>
        </w:tc>
      </w:tr>
      <w:tr>
        <w:tc>
          <w:tcPr>
            <w:tcW w:type="dxa" w:w="5040"/>
            <w:vAlign w:val="top"/>
          </w:tcPr>
          <w:p>
            <w:r/>
            <w:r>
              <w:rPr>
                <w:rFonts w:ascii="Aptos" w:hAnsi="Aptos"/>
                <w:b w:val="0"/>
                <w:sz w:val="15"/>
              </w:rPr>
              <w:t>Repeated source</w:t>
            </w:r>
          </w:p>
        </w:tc>
        <w:tc>
          <w:tcPr>
            <w:tcW w:type="dxa" w:w="5040"/>
            <w:vAlign w:val="top"/>
          </w:tcPr>
          <w:p>
            <w:r/>
            <w:r>
              <w:rPr>
                <w:rFonts w:ascii="Aptos" w:hAnsi="Aptos"/>
                <w:b w:val="0"/>
                <w:sz w:val="15"/>
              </w:rPr>
              <w:t>Repeated retrieval does not increase independent evidential count.</w:t>
            </w:r>
          </w:p>
        </w:tc>
      </w:tr>
      <w:tr>
        <w:tc>
          <w:tcPr>
            <w:tcW w:type="dxa" w:w="5040"/>
            <w:vAlign w:val="top"/>
          </w:tcPr>
          <w:p>
            <w:r/>
            <w:r>
              <w:rPr>
                <w:rFonts w:ascii="Aptos" w:hAnsi="Aptos"/>
                <w:b w:val="0"/>
                <w:sz w:val="15"/>
              </w:rPr>
              <w:t>Cooperation propensity</w:t>
            </w:r>
          </w:p>
        </w:tc>
        <w:tc>
          <w:tcPr>
            <w:tcW w:type="dxa" w:w="5040"/>
            <w:vAlign w:val="top"/>
          </w:tcPr>
          <w:p>
            <w:r/>
            <w:r>
              <w:rPr>
                <w:rFonts w:ascii="Aptos" w:hAnsi="Aptos"/>
                <w:b w:val="0"/>
                <w:sz w:val="15"/>
              </w:rPr>
              <w:t>If used canonically, relationship-specific and evidence-conditioned; never a global trust scalar.</w:t>
            </w:r>
          </w:p>
        </w:tc>
      </w:tr>
      <w:tr>
        <w:tc>
          <w:tcPr>
            <w:tcW w:type="dxa" w:w="5040"/>
            <w:vAlign w:val="top"/>
          </w:tcPr>
          <w:p>
            <w:r/>
            <w:r>
              <w:rPr>
                <w:rFonts w:ascii="Aptos" w:hAnsi="Aptos"/>
                <w:b w:val="0"/>
                <w:sz w:val="15"/>
              </w:rPr>
              <w:t>Stale memory</w:t>
            </w:r>
          </w:p>
        </w:tc>
        <w:tc>
          <w:tcPr>
            <w:tcW w:type="dxa" w:w="5040"/>
            <w:vAlign w:val="top"/>
          </w:tcPr>
          <w:p>
            <w:r/>
            <w:r>
              <w:rPr>
                <w:rFonts w:ascii="Aptos" w:hAnsi="Aptos"/>
                <w:b w:val="0"/>
                <w:sz w:val="15"/>
              </w:rPr>
              <w:t>Retained with freshness metadata; not automatically discarded or privileged.</w:t>
            </w:r>
          </w:p>
        </w:tc>
      </w:tr>
    </w:tbl>
    <w:p>
      <w:pPr>
        <w:spacing w:after="20"/>
      </w:pPr>
    </w:p>
    <w:p>
      <w:pPr>
        <w:pStyle w:val="Heading1"/>
      </w:pPr>
      <w:r>
        <w:t>9. PV-PP Projection Depth</w:t>
      </w:r>
    </w:p>
    <w:p>
      <w:r>
        <w:t>Primary PV-PP projection depth is proposed at four future weekly transitions beyond the current decision. This is long enough to expose S2 qualification, delayed field failures, covenant closure, and customer reserve effects while remaining computationally auditable. The exact projection implementation must use the same public transition model and uncertainty bounds available to the scalar comparator.</w:t>
      </w:r>
    </w:p>
    <w:p>
      <w:r>
        <w:t>A reduced-depth ablation may later use one future transition. Projection depth is a benchmark fixture, not a canonical claim that PV-PP generally uses four weeks.</w:t>
      </w:r>
    </w:p>
    <w:p>
      <w:pPr>
        <w:pStyle w:val="Heading1"/>
      </w:pPr>
      <w:r>
        <w:t>10. Regime B - Constrained Weighted-Scalar Receding-Horizon Controller</w:t>
      </w:r>
    </w:p>
    <w:p>
      <w:r>
        <w:t>The scalar comparator is intentionally competent. It is not a one-step weighted sum over current outcomes. It performs constrained receding-horizon planning over the same legitimate state evidence and public transition model, with hard physical/legal constraints and a frozen scalar loss over normalized soft outcome dimensions.</w:t>
      </w:r>
    </w:p>
    <w:p>
      <w:pPr>
        <w:jc w:val="center"/>
      </w:pPr>
      <w:r>
        <w:rPr>
          <w:b/>
        </w:rPr>
        <w:t>Choose policy p to minimize E[L(p)] + risk_penalty(p), subject to hard feasibility and institutional constraints.</w:t>
      </w:r>
    </w:p>
    <w:p>
      <w:pPr>
        <w:pStyle w:val="Heading1"/>
      </w:pPr>
      <w:r>
        <w:t>11. Scalar Soft-Loss Dimensions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2F3"/>
          </w:tcPr>
          <w:p>
            <w:r/>
            <w:r>
              <w:rPr>
                <w:rFonts w:ascii="Aptos" w:hAnsi="Aptos"/>
                <w:b/>
                <w:sz w:val="16"/>
              </w:rPr>
              <w:t>Dimension</w:t>
            </w:r>
          </w:p>
        </w:tc>
        <w:tc>
          <w:tcPr>
            <w:tcW w:type="dxa" w:w="3360"/>
            <w:vAlign w:val="top"/>
            <w:shd w:fill="D9E2F3"/>
          </w:tcPr>
          <w:p>
            <w:r/>
            <w:r>
              <w:rPr>
                <w:rFonts w:ascii="Aptos" w:hAnsi="Aptos"/>
                <w:b/>
                <w:sz w:val="16"/>
              </w:rPr>
              <w:t>Raw benchmark measure</w:t>
            </w:r>
          </w:p>
        </w:tc>
        <w:tc>
          <w:tcPr>
            <w:tcW w:type="dxa" w:w="3360"/>
            <w:vAlign w:val="top"/>
            <w:shd w:fill="D9E2F3"/>
          </w:tcPr>
          <w:p>
            <w:r/>
            <w:r>
              <w:rPr>
                <w:rFonts w:ascii="Aptos" w:hAnsi="Aptos"/>
                <w:b/>
                <w:sz w:val="16"/>
              </w:rPr>
              <w:t>Normalization reference</w:t>
            </w:r>
          </w:p>
        </w:tc>
      </w:tr>
      <w:tr>
        <w:tc>
          <w:tcPr>
            <w:tcW w:type="dxa" w:w="3360"/>
            <w:vAlign w:val="top"/>
          </w:tcPr>
          <w:p>
            <w:r/>
            <w:r>
              <w:rPr>
                <w:rFonts w:ascii="Aptos" w:hAnsi="Aptos"/>
                <w:b w:val="0"/>
                <w:sz w:val="15"/>
              </w:rPr>
              <w:t>Commitment loss</w:t>
            </w:r>
          </w:p>
        </w:tc>
        <w:tc>
          <w:tcPr>
            <w:tcW w:type="dxa" w:w="3360"/>
            <w:vAlign w:val="top"/>
          </w:tcPr>
          <w:p>
            <w:r/>
            <w:r>
              <w:rPr>
                <w:rFonts w:ascii="Aptos" w:hAnsi="Aptos"/>
                <w:b w:val="0"/>
                <w:sz w:val="15"/>
              </w:rPr>
              <w:t>Unrenegotiated missing committed units / breach exposure</w:t>
            </w:r>
          </w:p>
        </w:tc>
        <w:tc>
          <w:tcPr>
            <w:tcW w:type="dxa" w:w="3360"/>
            <w:vAlign w:val="top"/>
          </w:tcPr>
          <w:p>
            <w:r/>
            <w:r>
              <w:rPr>
                <w:rFonts w:ascii="Aptos" w:hAnsi="Aptos"/>
                <w:b w:val="0"/>
                <w:sz w:val="15"/>
              </w:rPr>
              <w:t>80-unit weekly baseline and strike thresholds.</w:t>
            </w:r>
          </w:p>
        </w:tc>
      </w:tr>
      <w:tr>
        <w:tc>
          <w:tcPr>
            <w:tcW w:type="dxa" w:w="3360"/>
            <w:vAlign w:val="top"/>
          </w:tcPr>
          <w:p>
            <w:r/>
            <w:r>
              <w:rPr>
                <w:rFonts w:ascii="Aptos" w:hAnsi="Aptos"/>
                <w:b w:val="0"/>
                <w:sz w:val="15"/>
              </w:rPr>
              <w:t>Physical shortage</w:t>
            </w:r>
          </w:p>
        </w:tc>
        <w:tc>
          <w:tcPr>
            <w:tcW w:type="dxa" w:w="3360"/>
            <w:vAlign w:val="top"/>
          </w:tcPr>
          <w:p>
            <w:r/>
            <w:r>
              <w:rPr>
                <w:rFonts w:ascii="Aptos" w:hAnsi="Aptos"/>
                <w:b w:val="0"/>
                <w:sz w:val="15"/>
              </w:rPr>
              <w:t>Customer reserve deficit / unmet productive requirement</w:t>
            </w:r>
          </w:p>
        </w:tc>
        <w:tc>
          <w:tcPr>
            <w:tcW w:type="dxa" w:w="3360"/>
            <w:vAlign w:val="top"/>
          </w:tcPr>
          <w:p>
            <w:r/>
            <w:r>
              <w:rPr>
                <w:rFonts w:ascii="Aptos" w:hAnsi="Aptos"/>
                <w:b w:val="0"/>
                <w:sz w:val="15"/>
              </w:rPr>
              <w:t>80-unit weekly demand.</w:t>
            </w:r>
          </w:p>
        </w:tc>
      </w:tr>
      <w:tr>
        <w:tc>
          <w:tcPr>
            <w:tcW w:type="dxa" w:w="3360"/>
            <w:vAlign w:val="top"/>
          </w:tcPr>
          <w:p>
            <w:r/>
            <w:r>
              <w:rPr>
                <w:rFonts w:ascii="Aptos" w:hAnsi="Aptos"/>
                <w:b w:val="0"/>
                <w:sz w:val="15"/>
              </w:rPr>
              <w:t>Cash stress</w:t>
            </w:r>
          </w:p>
        </w:tc>
        <w:tc>
          <w:tcPr>
            <w:tcW w:type="dxa" w:w="3360"/>
            <w:vAlign w:val="top"/>
          </w:tcPr>
          <w:p>
            <w:r/>
            <w:r>
              <w:rPr>
                <w:rFonts w:ascii="Aptos" w:hAnsi="Aptos"/>
                <w:b w:val="0"/>
                <w:sz w:val="15"/>
              </w:rPr>
              <w:t>Projected cash deficit and financing restriction</w:t>
            </w:r>
          </w:p>
        </w:tc>
        <w:tc>
          <w:tcPr>
            <w:tcW w:type="dxa" w:w="3360"/>
            <w:vAlign w:val="top"/>
          </w:tcPr>
          <w:p>
            <w:r/>
            <w:r>
              <w:rPr>
                <w:rFonts w:ascii="Aptos" w:hAnsi="Aptos"/>
                <w:b w:val="0"/>
                <w:sz w:val="15"/>
              </w:rPr>
              <w:t>$500k facility / zero-cash boundary.</w:t>
            </w:r>
          </w:p>
        </w:tc>
      </w:tr>
      <w:tr>
        <w:tc>
          <w:tcPr>
            <w:tcW w:type="dxa" w:w="3360"/>
            <w:vAlign w:val="top"/>
          </w:tcPr>
          <w:p>
            <w:r/>
            <w:r>
              <w:rPr>
                <w:rFonts w:ascii="Aptos" w:hAnsi="Aptos"/>
                <w:b w:val="0"/>
                <w:sz w:val="15"/>
              </w:rPr>
              <w:t>Covenant stress</w:t>
            </w:r>
          </w:p>
        </w:tc>
        <w:tc>
          <w:tcPr>
            <w:tcW w:type="dxa" w:w="3360"/>
            <w:vAlign w:val="top"/>
          </w:tcPr>
          <w:p>
            <w:r/>
            <w:r>
              <w:rPr>
                <w:rFonts w:ascii="Aptos" w:hAnsi="Aptos"/>
                <w:b w:val="0"/>
                <w:sz w:val="15"/>
              </w:rPr>
              <w:t>Loss of covenant headroom</w:t>
            </w:r>
          </w:p>
        </w:tc>
        <w:tc>
          <w:tcPr>
            <w:tcW w:type="dxa" w:w="3360"/>
            <w:vAlign w:val="top"/>
          </w:tcPr>
          <w:p>
            <w:r/>
            <w:r>
              <w:rPr>
                <w:rFonts w:ascii="Aptos" w:hAnsi="Aptos"/>
                <w:b w:val="0"/>
                <w:sz w:val="15"/>
              </w:rPr>
              <w:t>1.0 normalized headroom.</w:t>
            </w:r>
          </w:p>
        </w:tc>
      </w:tr>
      <w:tr>
        <w:tc>
          <w:tcPr>
            <w:tcW w:type="dxa" w:w="3360"/>
            <w:vAlign w:val="top"/>
          </w:tcPr>
          <w:p>
            <w:r/>
            <w:r>
              <w:rPr>
                <w:rFonts w:ascii="Aptos" w:hAnsi="Aptos"/>
                <w:b w:val="0"/>
                <w:sz w:val="15"/>
              </w:rPr>
              <w:t>M capability degradation</w:t>
            </w:r>
          </w:p>
        </w:tc>
        <w:tc>
          <w:tcPr>
            <w:tcW w:type="dxa" w:w="3360"/>
            <w:vAlign w:val="top"/>
          </w:tcPr>
          <w:p>
            <w:r/>
            <w:r>
              <w:rPr>
                <w:rFonts w:ascii="Aptos" w:hAnsi="Aptos"/>
                <w:b w:val="0"/>
                <w:sz w:val="15"/>
              </w:rPr>
              <w:t>Named assembly/test/engineering PP losses</w:t>
            </w:r>
          </w:p>
        </w:tc>
        <w:tc>
          <w:tcPr>
            <w:tcW w:type="dxa" w:w="3360"/>
            <w:vAlign w:val="top"/>
          </w:tcPr>
          <w:p>
            <w:r/>
            <w:r>
              <w:rPr>
                <w:rFonts w:ascii="Aptos" w:hAnsi="Aptos"/>
                <w:b w:val="0"/>
                <w:sz w:val="15"/>
              </w:rPr>
              <w:t>100-point domain baselines; normalized separately before weighting.</w:t>
            </w:r>
          </w:p>
        </w:tc>
      </w:tr>
      <w:tr>
        <w:tc>
          <w:tcPr>
            <w:tcW w:type="dxa" w:w="3360"/>
            <w:vAlign w:val="top"/>
          </w:tcPr>
          <w:p>
            <w:r/>
            <w:r>
              <w:rPr>
                <w:rFonts w:ascii="Aptos" w:hAnsi="Aptos"/>
                <w:b w:val="0"/>
                <w:sz w:val="15"/>
              </w:rPr>
              <w:t>Quality harm</w:t>
            </w:r>
          </w:p>
        </w:tc>
        <w:tc>
          <w:tcPr>
            <w:tcW w:type="dxa" w:w="3360"/>
            <w:vAlign w:val="top"/>
          </w:tcPr>
          <w:p>
            <w:r/>
            <w:r>
              <w:rPr>
                <w:rFonts w:ascii="Aptos" w:hAnsi="Aptos"/>
                <w:b w:val="0"/>
                <w:sz w:val="15"/>
              </w:rPr>
              <w:t>Expected/realized defect and field-failure burden</w:t>
            </w:r>
          </w:p>
        </w:tc>
        <w:tc>
          <w:tcPr>
            <w:tcW w:type="dxa" w:w="3360"/>
            <w:vAlign w:val="top"/>
          </w:tcPr>
          <w:p>
            <w:r/>
            <w:r>
              <w:rPr>
                <w:rFonts w:ascii="Aptos" w:hAnsi="Aptos"/>
                <w:b w:val="0"/>
                <w:sz w:val="15"/>
              </w:rPr>
              <w:t>Frozen benchmark quality-event scale.</w:t>
            </w:r>
          </w:p>
        </w:tc>
      </w:tr>
      <w:tr>
        <w:tc>
          <w:tcPr>
            <w:tcW w:type="dxa" w:w="3360"/>
            <w:vAlign w:val="top"/>
          </w:tcPr>
          <w:p>
            <w:r/>
            <w:r>
              <w:rPr>
                <w:rFonts w:ascii="Aptos" w:hAnsi="Aptos"/>
                <w:b w:val="0"/>
                <w:sz w:val="15"/>
              </w:rPr>
              <w:t>Transaction/adaptation cost</w:t>
            </w:r>
          </w:p>
        </w:tc>
        <w:tc>
          <w:tcPr>
            <w:tcW w:type="dxa" w:w="3360"/>
            <w:vAlign w:val="top"/>
          </w:tcPr>
          <w:p>
            <w:r/>
            <w:r>
              <w:rPr>
                <w:rFonts w:ascii="Aptos" w:hAnsi="Aptos"/>
                <w:b w:val="0"/>
                <w:sz w:val="15"/>
              </w:rPr>
              <w:t>Qualification, expedite, amendment, rework, reservation and switching costs</w:t>
            </w:r>
          </w:p>
        </w:tc>
        <w:tc>
          <w:tcPr>
            <w:tcW w:type="dxa" w:w="3360"/>
            <w:vAlign w:val="top"/>
          </w:tcPr>
          <w:p>
            <w:r/>
            <w:r>
              <w:rPr>
                <w:rFonts w:ascii="Aptos" w:hAnsi="Aptos"/>
                <w:b w:val="0"/>
                <w:sz w:val="15"/>
              </w:rPr>
              <w:t>Frozen cost reference, proposed $100k.</w:t>
            </w:r>
          </w:p>
        </w:tc>
      </w:tr>
      <w:tr>
        <w:tc>
          <w:tcPr>
            <w:tcW w:type="dxa" w:w="3360"/>
            <w:vAlign w:val="top"/>
          </w:tcPr>
          <w:p>
            <w:r/>
            <w:r>
              <w:rPr>
                <w:rFonts w:ascii="Aptos" w:hAnsi="Aptos"/>
                <w:b w:val="0"/>
                <w:sz w:val="15"/>
              </w:rPr>
              <w:t>Recovery delay</w:t>
            </w:r>
          </w:p>
        </w:tc>
        <w:tc>
          <w:tcPr>
            <w:tcW w:type="dxa" w:w="3360"/>
            <w:vAlign w:val="top"/>
          </w:tcPr>
          <w:p>
            <w:r/>
            <w:r>
              <w:rPr>
                <w:rFonts w:ascii="Aptos" w:hAnsi="Aptos"/>
                <w:b w:val="0"/>
                <w:sz w:val="15"/>
              </w:rPr>
              <w:t>Periods until controller's modeled stable operating condition</w:t>
            </w:r>
          </w:p>
        </w:tc>
        <w:tc>
          <w:tcPr>
            <w:tcW w:type="dxa" w:w="3360"/>
            <w:vAlign w:val="top"/>
          </w:tcPr>
          <w:p>
            <w:r/>
            <w:r>
              <w:rPr>
                <w:rFonts w:ascii="Aptos" w:hAnsi="Aptos"/>
                <w:b w:val="0"/>
                <w:sz w:val="15"/>
              </w:rPr>
              <w:t>Four-week primary horizon; terminal penalty if no modeled recovery in horizon.</w:t>
            </w:r>
          </w:p>
        </w:tc>
      </w:tr>
      <w:tr>
        <w:tc>
          <w:tcPr>
            <w:tcW w:type="dxa" w:w="3360"/>
            <w:vAlign w:val="top"/>
          </w:tcPr>
          <w:p>
            <w:r/>
            <w:r>
              <w:rPr>
                <w:rFonts w:ascii="Aptos" w:hAnsi="Aptos"/>
                <w:b w:val="0"/>
                <w:sz w:val="15"/>
              </w:rPr>
              <w:t>Irreversible transition risk</w:t>
            </w:r>
          </w:p>
        </w:tc>
        <w:tc>
          <w:tcPr>
            <w:tcW w:type="dxa" w:w="3360"/>
            <w:vAlign w:val="top"/>
          </w:tcPr>
          <w:p>
            <w:r/>
            <w:r>
              <w:rPr>
                <w:rFonts w:ascii="Aptos" w:hAnsi="Aptos"/>
                <w:b w:val="0"/>
                <w:sz w:val="15"/>
              </w:rPr>
              <w:t>Probability/indicator of supplier exit, customer termination, default, line failure</w:t>
            </w:r>
          </w:p>
        </w:tc>
        <w:tc>
          <w:tcPr>
            <w:tcW w:type="dxa" w:w="3360"/>
            <w:vAlign w:val="top"/>
          </w:tcPr>
          <w:p>
            <w:r/>
            <w:r>
              <w:rPr>
                <w:rFonts w:ascii="Aptos" w:hAnsi="Aptos"/>
                <w:b w:val="0"/>
                <w:sz w:val="15"/>
              </w:rPr>
              <w:t>Binary/event probability; high but finite penalty.</w:t>
            </w:r>
          </w:p>
        </w:tc>
      </w:tr>
    </w:tbl>
    <w:p>
      <w:pPr>
        <w:spacing w:after="20"/>
      </w:pPr>
    </w:p>
    <w:p>
      <w:r>
        <w:t>Normalization exists solely inside comparator B so heterogeneous quantities can enter its scalar objective. It does not assert PV-PP scalar reducibility and must not be reused as a benchmark outcome score.</w:t>
      </w:r>
    </w:p>
    <w:p>
      <w:pPr>
        <w:pStyle w:val="Heading1"/>
      </w:pPr>
      <w:r>
        <w:t>12. Scalar Weight Panel</w:t>
      </w:r>
    </w:p>
    <w:p>
      <w:r>
        <w:t>The primary scalar controller uses a pre-frozen neutral weight vector plus a sensitivity panel. The purpose is to prevent the comparison from hinging on one conveniently poor weighting.</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top"/>
            <w:shd w:fill="D9E2F3"/>
          </w:tcPr>
          <w:p>
            <w:r/>
            <w:r>
              <w:rPr>
                <w:rFonts w:ascii="Aptos" w:hAnsi="Aptos"/>
                <w:b/>
                <w:sz w:val="16"/>
              </w:rPr>
              <w:t>Panel</w:t>
            </w:r>
          </w:p>
        </w:tc>
        <w:tc>
          <w:tcPr>
            <w:tcW w:type="dxa" w:w="1260"/>
            <w:vAlign w:val="top"/>
            <w:shd w:fill="D9E2F3"/>
          </w:tcPr>
          <w:p>
            <w:r/>
            <w:r>
              <w:rPr>
                <w:rFonts w:ascii="Aptos" w:hAnsi="Aptos"/>
                <w:b/>
                <w:sz w:val="16"/>
              </w:rPr>
              <w:t>Commitment</w:t>
            </w:r>
          </w:p>
        </w:tc>
        <w:tc>
          <w:tcPr>
            <w:tcW w:type="dxa" w:w="1260"/>
            <w:vAlign w:val="top"/>
            <w:shd w:fill="D9E2F3"/>
          </w:tcPr>
          <w:p>
            <w:r/>
            <w:r>
              <w:rPr>
                <w:rFonts w:ascii="Aptos" w:hAnsi="Aptos"/>
                <w:b/>
                <w:sz w:val="16"/>
              </w:rPr>
              <w:t>Shortage</w:t>
            </w:r>
          </w:p>
        </w:tc>
        <w:tc>
          <w:tcPr>
            <w:tcW w:type="dxa" w:w="1260"/>
            <w:vAlign w:val="top"/>
            <w:shd w:fill="D9E2F3"/>
          </w:tcPr>
          <w:p>
            <w:r/>
            <w:r>
              <w:rPr>
                <w:rFonts w:ascii="Aptos" w:hAnsi="Aptos"/>
                <w:b/>
                <w:sz w:val="16"/>
              </w:rPr>
              <w:t>Cash/covenant</w:t>
            </w:r>
          </w:p>
        </w:tc>
        <w:tc>
          <w:tcPr>
            <w:tcW w:type="dxa" w:w="1260"/>
            <w:vAlign w:val="top"/>
            <w:shd w:fill="D9E2F3"/>
          </w:tcPr>
          <w:p>
            <w:r/>
            <w:r>
              <w:rPr>
                <w:rFonts w:ascii="Aptos" w:hAnsi="Aptos"/>
                <w:b/>
                <w:sz w:val="16"/>
              </w:rPr>
              <w:t>Capability</w:t>
            </w:r>
          </w:p>
        </w:tc>
        <w:tc>
          <w:tcPr>
            <w:tcW w:type="dxa" w:w="1260"/>
            <w:vAlign w:val="top"/>
            <w:shd w:fill="D9E2F3"/>
          </w:tcPr>
          <w:p>
            <w:r/>
            <w:r>
              <w:rPr>
                <w:rFonts w:ascii="Aptos" w:hAnsi="Aptos"/>
                <w:b/>
                <w:sz w:val="16"/>
              </w:rPr>
              <w:t>Quality</w:t>
            </w:r>
          </w:p>
        </w:tc>
        <w:tc>
          <w:tcPr>
            <w:tcW w:type="dxa" w:w="1260"/>
            <w:vAlign w:val="top"/>
            <w:shd w:fill="D9E2F3"/>
          </w:tcPr>
          <w:p>
            <w:r/>
            <w:r>
              <w:rPr>
                <w:rFonts w:ascii="Aptos" w:hAnsi="Aptos"/>
                <w:b/>
                <w:sz w:val="16"/>
              </w:rPr>
              <w:t>Adaptation cost</w:t>
            </w:r>
          </w:p>
        </w:tc>
        <w:tc>
          <w:tcPr>
            <w:tcW w:type="dxa" w:w="1260"/>
            <w:vAlign w:val="top"/>
            <w:shd w:fill="D9E2F3"/>
          </w:tcPr>
          <w:p>
            <w:r/>
            <w:r>
              <w:rPr>
                <w:rFonts w:ascii="Aptos" w:hAnsi="Aptos"/>
                <w:b/>
                <w:sz w:val="16"/>
              </w:rPr>
              <w:t>Recovery/irreversibility</w:t>
            </w:r>
          </w:p>
        </w:tc>
      </w:tr>
      <w:tr>
        <w:tc>
          <w:tcPr>
            <w:tcW w:type="dxa" w:w="1260"/>
            <w:vAlign w:val="top"/>
          </w:tcPr>
          <w:p>
            <w:r/>
            <w:r>
              <w:rPr>
                <w:rFonts w:ascii="Aptos" w:hAnsi="Aptos"/>
                <w:b w:val="0"/>
                <w:sz w:val="15"/>
              </w:rPr>
              <w:t>B0 Balanced</w:t>
            </w:r>
          </w:p>
        </w:tc>
        <w:tc>
          <w:tcPr>
            <w:tcW w:type="dxa" w:w="1260"/>
            <w:vAlign w:val="top"/>
          </w:tcPr>
          <w:p>
            <w:r/>
            <w:r>
              <w:rPr>
                <w:rFonts w:ascii="Aptos" w:hAnsi="Aptos"/>
                <w:b w:val="0"/>
                <w:sz w:val="15"/>
              </w:rPr>
              <w:t>1.0</w:t>
            </w:r>
          </w:p>
        </w:tc>
        <w:tc>
          <w:tcPr>
            <w:tcW w:type="dxa" w:w="1260"/>
            <w:vAlign w:val="top"/>
          </w:tcPr>
          <w:p>
            <w:r/>
            <w:r>
              <w:rPr>
                <w:rFonts w:ascii="Aptos" w:hAnsi="Aptos"/>
                <w:b w:val="0"/>
                <w:sz w:val="15"/>
              </w:rPr>
              <w:t>1.0</w:t>
            </w:r>
          </w:p>
        </w:tc>
        <w:tc>
          <w:tcPr>
            <w:tcW w:type="dxa" w:w="1260"/>
            <w:vAlign w:val="top"/>
          </w:tcPr>
          <w:p>
            <w:r/>
            <w:r>
              <w:rPr>
                <w:rFonts w:ascii="Aptos" w:hAnsi="Aptos"/>
                <w:b w:val="0"/>
                <w:sz w:val="15"/>
              </w:rPr>
              <w:t>1.0</w:t>
            </w:r>
          </w:p>
        </w:tc>
        <w:tc>
          <w:tcPr>
            <w:tcW w:type="dxa" w:w="1260"/>
            <w:vAlign w:val="top"/>
          </w:tcPr>
          <w:p>
            <w:r/>
            <w:r>
              <w:rPr>
                <w:rFonts w:ascii="Aptos" w:hAnsi="Aptos"/>
                <w:b w:val="0"/>
                <w:sz w:val="15"/>
              </w:rPr>
              <w:t>1.0</w:t>
            </w:r>
          </w:p>
        </w:tc>
        <w:tc>
          <w:tcPr>
            <w:tcW w:type="dxa" w:w="1260"/>
            <w:vAlign w:val="top"/>
          </w:tcPr>
          <w:p>
            <w:r/>
            <w:r>
              <w:rPr>
                <w:rFonts w:ascii="Aptos" w:hAnsi="Aptos"/>
                <w:b w:val="0"/>
                <w:sz w:val="15"/>
              </w:rPr>
              <w:t>1.0</w:t>
            </w:r>
          </w:p>
        </w:tc>
        <w:tc>
          <w:tcPr>
            <w:tcW w:type="dxa" w:w="1260"/>
            <w:vAlign w:val="top"/>
          </w:tcPr>
          <w:p>
            <w:r/>
            <w:r>
              <w:rPr>
                <w:rFonts w:ascii="Aptos" w:hAnsi="Aptos"/>
                <w:b w:val="0"/>
                <w:sz w:val="15"/>
              </w:rPr>
              <w:t>0.75</w:t>
            </w:r>
          </w:p>
        </w:tc>
        <w:tc>
          <w:tcPr>
            <w:tcW w:type="dxa" w:w="1260"/>
            <w:vAlign w:val="top"/>
          </w:tcPr>
          <w:p>
            <w:r/>
            <w:r>
              <w:rPr>
                <w:rFonts w:ascii="Aptos" w:hAnsi="Aptos"/>
                <w:b w:val="0"/>
                <w:sz w:val="15"/>
              </w:rPr>
              <w:t>1.25</w:t>
            </w:r>
          </w:p>
        </w:tc>
      </w:tr>
      <w:tr>
        <w:tc>
          <w:tcPr>
            <w:tcW w:type="dxa" w:w="1260"/>
            <w:vAlign w:val="top"/>
          </w:tcPr>
          <w:p>
            <w:r/>
            <w:r>
              <w:rPr>
                <w:rFonts w:ascii="Aptos" w:hAnsi="Aptos"/>
                <w:b w:val="0"/>
                <w:sz w:val="15"/>
              </w:rPr>
              <w:t>B1 Continuity-heavy</w:t>
            </w:r>
          </w:p>
        </w:tc>
        <w:tc>
          <w:tcPr>
            <w:tcW w:type="dxa" w:w="1260"/>
            <w:vAlign w:val="top"/>
          </w:tcPr>
          <w:p>
            <w:r/>
            <w:r>
              <w:rPr>
                <w:rFonts w:ascii="Aptos" w:hAnsi="Aptos"/>
                <w:b w:val="0"/>
                <w:sz w:val="15"/>
              </w:rPr>
              <w:t>1.25</w:t>
            </w:r>
          </w:p>
        </w:tc>
        <w:tc>
          <w:tcPr>
            <w:tcW w:type="dxa" w:w="1260"/>
            <w:vAlign w:val="top"/>
          </w:tcPr>
          <w:p>
            <w:r/>
            <w:r>
              <w:rPr>
                <w:rFonts w:ascii="Aptos" w:hAnsi="Aptos"/>
                <w:b w:val="0"/>
                <w:sz w:val="15"/>
              </w:rPr>
              <w:t>1.25</w:t>
            </w:r>
          </w:p>
        </w:tc>
        <w:tc>
          <w:tcPr>
            <w:tcW w:type="dxa" w:w="1260"/>
            <w:vAlign w:val="top"/>
          </w:tcPr>
          <w:p>
            <w:r/>
            <w:r>
              <w:rPr>
                <w:rFonts w:ascii="Aptos" w:hAnsi="Aptos"/>
                <w:b w:val="0"/>
                <w:sz w:val="15"/>
              </w:rPr>
              <w:t>0.75</w:t>
            </w:r>
          </w:p>
        </w:tc>
        <w:tc>
          <w:tcPr>
            <w:tcW w:type="dxa" w:w="1260"/>
            <w:vAlign w:val="top"/>
          </w:tcPr>
          <w:p>
            <w:r/>
            <w:r>
              <w:rPr>
                <w:rFonts w:ascii="Aptos" w:hAnsi="Aptos"/>
                <w:b w:val="0"/>
                <w:sz w:val="15"/>
              </w:rPr>
              <w:t>0.9</w:t>
            </w:r>
          </w:p>
        </w:tc>
        <w:tc>
          <w:tcPr>
            <w:tcW w:type="dxa" w:w="1260"/>
            <w:vAlign w:val="top"/>
          </w:tcPr>
          <w:p>
            <w:r/>
            <w:r>
              <w:rPr>
                <w:rFonts w:ascii="Aptos" w:hAnsi="Aptos"/>
                <w:b w:val="0"/>
                <w:sz w:val="15"/>
              </w:rPr>
              <w:t>1.0</w:t>
            </w:r>
          </w:p>
        </w:tc>
        <w:tc>
          <w:tcPr>
            <w:tcW w:type="dxa" w:w="1260"/>
            <w:vAlign w:val="top"/>
          </w:tcPr>
          <w:p>
            <w:r/>
            <w:r>
              <w:rPr>
                <w:rFonts w:ascii="Aptos" w:hAnsi="Aptos"/>
                <w:b w:val="0"/>
                <w:sz w:val="15"/>
              </w:rPr>
              <w:t>0.6</w:t>
            </w:r>
          </w:p>
        </w:tc>
        <w:tc>
          <w:tcPr>
            <w:tcW w:type="dxa" w:w="1260"/>
            <w:vAlign w:val="top"/>
          </w:tcPr>
          <w:p>
            <w:r/>
            <w:r>
              <w:rPr>
                <w:rFonts w:ascii="Aptos" w:hAnsi="Aptos"/>
                <w:b w:val="0"/>
                <w:sz w:val="15"/>
              </w:rPr>
              <w:t>1.1</w:t>
            </w:r>
          </w:p>
        </w:tc>
      </w:tr>
      <w:tr>
        <w:tc>
          <w:tcPr>
            <w:tcW w:type="dxa" w:w="1260"/>
            <w:vAlign w:val="top"/>
          </w:tcPr>
          <w:p>
            <w:r/>
            <w:r>
              <w:rPr>
                <w:rFonts w:ascii="Aptos" w:hAnsi="Aptos"/>
                <w:b w:val="0"/>
                <w:sz w:val="15"/>
              </w:rPr>
              <w:t>B2 Resilience-heavy</w:t>
            </w:r>
          </w:p>
        </w:tc>
        <w:tc>
          <w:tcPr>
            <w:tcW w:type="dxa" w:w="1260"/>
            <w:vAlign w:val="top"/>
          </w:tcPr>
          <w:p>
            <w:r/>
            <w:r>
              <w:rPr>
                <w:rFonts w:ascii="Aptos" w:hAnsi="Aptos"/>
                <w:b w:val="0"/>
                <w:sz w:val="15"/>
              </w:rPr>
              <w:t>0.8</w:t>
            </w:r>
          </w:p>
        </w:tc>
        <w:tc>
          <w:tcPr>
            <w:tcW w:type="dxa" w:w="1260"/>
            <w:vAlign w:val="top"/>
          </w:tcPr>
          <w:p>
            <w:r/>
            <w:r>
              <w:rPr>
                <w:rFonts w:ascii="Aptos" w:hAnsi="Aptos"/>
                <w:b w:val="0"/>
                <w:sz w:val="15"/>
              </w:rPr>
              <w:t>0.9</w:t>
            </w:r>
          </w:p>
        </w:tc>
        <w:tc>
          <w:tcPr>
            <w:tcW w:type="dxa" w:w="1260"/>
            <w:vAlign w:val="top"/>
          </w:tcPr>
          <w:p>
            <w:r/>
            <w:r>
              <w:rPr>
                <w:rFonts w:ascii="Aptos" w:hAnsi="Aptos"/>
                <w:b w:val="0"/>
                <w:sz w:val="15"/>
              </w:rPr>
              <w:t>1.0</w:t>
            </w:r>
          </w:p>
        </w:tc>
        <w:tc>
          <w:tcPr>
            <w:tcW w:type="dxa" w:w="1260"/>
            <w:vAlign w:val="top"/>
          </w:tcPr>
          <w:p>
            <w:r/>
            <w:r>
              <w:rPr>
                <w:rFonts w:ascii="Aptos" w:hAnsi="Aptos"/>
                <w:b w:val="0"/>
                <w:sz w:val="15"/>
              </w:rPr>
              <w:t>1.25</w:t>
            </w:r>
          </w:p>
        </w:tc>
        <w:tc>
          <w:tcPr>
            <w:tcW w:type="dxa" w:w="1260"/>
            <w:vAlign w:val="top"/>
          </w:tcPr>
          <w:p>
            <w:r/>
            <w:r>
              <w:rPr>
                <w:rFonts w:ascii="Aptos" w:hAnsi="Aptos"/>
                <w:b w:val="0"/>
                <w:sz w:val="15"/>
              </w:rPr>
              <w:t>1.25</w:t>
            </w:r>
          </w:p>
        </w:tc>
        <w:tc>
          <w:tcPr>
            <w:tcW w:type="dxa" w:w="1260"/>
            <w:vAlign w:val="top"/>
          </w:tcPr>
          <w:p>
            <w:r/>
            <w:r>
              <w:rPr>
                <w:rFonts w:ascii="Aptos" w:hAnsi="Aptos"/>
                <w:b w:val="0"/>
                <w:sz w:val="15"/>
              </w:rPr>
              <w:t>0.6</w:t>
            </w:r>
          </w:p>
        </w:tc>
        <w:tc>
          <w:tcPr>
            <w:tcW w:type="dxa" w:w="1260"/>
            <w:vAlign w:val="top"/>
          </w:tcPr>
          <w:p>
            <w:r/>
            <w:r>
              <w:rPr>
                <w:rFonts w:ascii="Aptos" w:hAnsi="Aptos"/>
                <w:b w:val="0"/>
                <w:sz w:val="15"/>
              </w:rPr>
              <w:t>1.5</w:t>
            </w:r>
          </w:p>
        </w:tc>
      </w:tr>
      <w:tr>
        <w:tc>
          <w:tcPr>
            <w:tcW w:type="dxa" w:w="1260"/>
            <w:vAlign w:val="top"/>
          </w:tcPr>
          <w:p>
            <w:r/>
            <w:r>
              <w:rPr>
                <w:rFonts w:ascii="Aptos" w:hAnsi="Aptos"/>
                <w:b w:val="0"/>
                <w:sz w:val="15"/>
              </w:rPr>
              <w:t>B3 Financially conservative</w:t>
            </w:r>
          </w:p>
        </w:tc>
        <w:tc>
          <w:tcPr>
            <w:tcW w:type="dxa" w:w="1260"/>
            <w:vAlign w:val="top"/>
          </w:tcPr>
          <w:p>
            <w:r/>
            <w:r>
              <w:rPr>
                <w:rFonts w:ascii="Aptos" w:hAnsi="Aptos"/>
                <w:b w:val="0"/>
                <w:sz w:val="15"/>
              </w:rPr>
              <w:t>0.9</w:t>
            </w:r>
          </w:p>
        </w:tc>
        <w:tc>
          <w:tcPr>
            <w:tcW w:type="dxa" w:w="1260"/>
            <w:vAlign w:val="top"/>
          </w:tcPr>
          <w:p>
            <w:r/>
            <w:r>
              <w:rPr>
                <w:rFonts w:ascii="Aptos" w:hAnsi="Aptos"/>
                <w:b w:val="0"/>
                <w:sz w:val="15"/>
              </w:rPr>
              <w:t>0.9</w:t>
            </w:r>
          </w:p>
        </w:tc>
        <w:tc>
          <w:tcPr>
            <w:tcW w:type="dxa" w:w="1260"/>
            <w:vAlign w:val="top"/>
          </w:tcPr>
          <w:p>
            <w:r/>
            <w:r>
              <w:rPr>
                <w:rFonts w:ascii="Aptos" w:hAnsi="Aptos"/>
                <w:b w:val="0"/>
                <w:sz w:val="15"/>
              </w:rPr>
              <w:t>1.4</w:t>
            </w:r>
          </w:p>
        </w:tc>
        <w:tc>
          <w:tcPr>
            <w:tcW w:type="dxa" w:w="1260"/>
            <w:vAlign w:val="top"/>
          </w:tcPr>
          <w:p>
            <w:r/>
            <w:r>
              <w:rPr>
                <w:rFonts w:ascii="Aptos" w:hAnsi="Aptos"/>
                <w:b w:val="0"/>
                <w:sz w:val="15"/>
              </w:rPr>
              <w:t>1.0</w:t>
            </w:r>
          </w:p>
        </w:tc>
        <w:tc>
          <w:tcPr>
            <w:tcW w:type="dxa" w:w="1260"/>
            <w:vAlign w:val="top"/>
          </w:tcPr>
          <w:p>
            <w:r/>
            <w:r>
              <w:rPr>
                <w:rFonts w:ascii="Aptos" w:hAnsi="Aptos"/>
                <w:b w:val="0"/>
                <w:sz w:val="15"/>
              </w:rPr>
              <w:t>1.0</w:t>
            </w:r>
          </w:p>
        </w:tc>
        <w:tc>
          <w:tcPr>
            <w:tcW w:type="dxa" w:w="1260"/>
            <w:vAlign w:val="top"/>
          </w:tcPr>
          <w:p>
            <w:r/>
            <w:r>
              <w:rPr>
                <w:rFonts w:ascii="Aptos" w:hAnsi="Aptos"/>
                <w:b w:val="0"/>
                <w:sz w:val="15"/>
              </w:rPr>
              <w:t>1.1</w:t>
            </w:r>
          </w:p>
        </w:tc>
        <w:tc>
          <w:tcPr>
            <w:tcW w:type="dxa" w:w="1260"/>
            <w:vAlign w:val="top"/>
          </w:tcPr>
          <w:p>
            <w:r/>
            <w:r>
              <w:rPr>
                <w:rFonts w:ascii="Aptos" w:hAnsi="Aptos"/>
                <w:b w:val="0"/>
                <w:sz w:val="15"/>
              </w:rPr>
              <w:t>1.2</w:t>
            </w:r>
          </w:p>
        </w:tc>
      </w:tr>
      <w:tr>
        <w:tc>
          <w:tcPr>
            <w:tcW w:type="dxa" w:w="1260"/>
            <w:vAlign w:val="top"/>
          </w:tcPr>
          <w:p>
            <w:r/>
            <w:r>
              <w:rPr>
                <w:rFonts w:ascii="Aptos" w:hAnsi="Aptos"/>
                <w:b w:val="0"/>
                <w:sz w:val="15"/>
              </w:rPr>
              <w:t>B4 Quality-heavy</w:t>
            </w:r>
          </w:p>
        </w:tc>
        <w:tc>
          <w:tcPr>
            <w:tcW w:type="dxa" w:w="1260"/>
            <w:vAlign w:val="top"/>
          </w:tcPr>
          <w:p>
            <w:r/>
            <w:r>
              <w:rPr>
                <w:rFonts w:ascii="Aptos" w:hAnsi="Aptos"/>
                <w:b w:val="0"/>
                <w:sz w:val="15"/>
              </w:rPr>
              <w:t>0.8</w:t>
            </w:r>
          </w:p>
        </w:tc>
        <w:tc>
          <w:tcPr>
            <w:tcW w:type="dxa" w:w="1260"/>
            <w:vAlign w:val="top"/>
          </w:tcPr>
          <w:p>
            <w:r/>
            <w:r>
              <w:rPr>
                <w:rFonts w:ascii="Aptos" w:hAnsi="Aptos"/>
                <w:b w:val="0"/>
                <w:sz w:val="15"/>
              </w:rPr>
              <w:t>0.9</w:t>
            </w:r>
          </w:p>
        </w:tc>
        <w:tc>
          <w:tcPr>
            <w:tcW w:type="dxa" w:w="1260"/>
            <w:vAlign w:val="top"/>
          </w:tcPr>
          <w:p>
            <w:r/>
            <w:r>
              <w:rPr>
                <w:rFonts w:ascii="Aptos" w:hAnsi="Aptos"/>
                <w:b w:val="0"/>
                <w:sz w:val="15"/>
              </w:rPr>
              <w:t>0.9</w:t>
            </w:r>
          </w:p>
        </w:tc>
        <w:tc>
          <w:tcPr>
            <w:tcW w:type="dxa" w:w="1260"/>
            <w:vAlign w:val="top"/>
          </w:tcPr>
          <w:p>
            <w:r/>
            <w:r>
              <w:rPr>
                <w:rFonts w:ascii="Aptos" w:hAnsi="Aptos"/>
                <w:b w:val="0"/>
                <w:sz w:val="15"/>
              </w:rPr>
              <w:t>1.0</w:t>
            </w:r>
          </w:p>
        </w:tc>
        <w:tc>
          <w:tcPr>
            <w:tcW w:type="dxa" w:w="1260"/>
            <w:vAlign w:val="top"/>
          </w:tcPr>
          <w:p>
            <w:r/>
            <w:r>
              <w:rPr>
                <w:rFonts w:ascii="Aptos" w:hAnsi="Aptos"/>
                <w:b w:val="0"/>
                <w:sz w:val="15"/>
              </w:rPr>
              <w:t>1.6</w:t>
            </w:r>
          </w:p>
        </w:tc>
        <w:tc>
          <w:tcPr>
            <w:tcW w:type="dxa" w:w="1260"/>
            <w:vAlign w:val="top"/>
          </w:tcPr>
          <w:p>
            <w:r/>
            <w:r>
              <w:rPr>
                <w:rFonts w:ascii="Aptos" w:hAnsi="Aptos"/>
                <w:b w:val="0"/>
                <w:sz w:val="15"/>
              </w:rPr>
              <w:t>0.7</w:t>
            </w:r>
          </w:p>
        </w:tc>
        <w:tc>
          <w:tcPr>
            <w:tcW w:type="dxa" w:w="1260"/>
            <w:vAlign w:val="top"/>
          </w:tcPr>
          <w:p>
            <w:r/>
            <w:r>
              <w:rPr>
                <w:rFonts w:ascii="Aptos" w:hAnsi="Aptos"/>
                <w:b w:val="0"/>
                <w:sz w:val="15"/>
              </w:rPr>
              <w:t>1.3</w:t>
            </w:r>
          </w:p>
        </w:tc>
      </w:tr>
    </w:tbl>
    <w:p>
      <w:pPr>
        <w:spacing w:after="20"/>
      </w:pPr>
    </w:p>
    <w:p>
      <w:r>
        <w:t>These are proposed pre-freeze weights, not final calibrated values. Calibration may test numerical stability before comparative results exist. Once frozen, no weight is changed because PV-PP wins or loses.</w:t>
      </w:r>
    </w:p>
    <w:p>
      <w:pPr>
        <w:pStyle w:val="Heading1"/>
      </w:pPr>
      <w:r>
        <w:t>13. Scalar Risk Treatment</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6"/>
              </w:rPr>
              <w:t>Feature</w:t>
            </w:r>
          </w:p>
        </w:tc>
        <w:tc>
          <w:tcPr>
            <w:tcW w:type="dxa" w:w="5040"/>
            <w:vAlign w:val="top"/>
            <w:shd w:fill="D9E2F3"/>
          </w:tcPr>
          <w:p>
            <w:r/>
            <w:r>
              <w:rPr>
                <w:rFonts w:ascii="Aptos" w:hAnsi="Aptos"/>
                <w:b/>
                <w:sz w:val="16"/>
              </w:rPr>
              <w:t>Rule</w:t>
            </w:r>
          </w:p>
        </w:tc>
      </w:tr>
      <w:tr>
        <w:tc>
          <w:tcPr>
            <w:tcW w:type="dxa" w:w="5040"/>
            <w:vAlign w:val="top"/>
          </w:tcPr>
          <w:p>
            <w:r/>
            <w:r>
              <w:rPr>
                <w:rFonts w:ascii="Aptos" w:hAnsi="Aptos"/>
                <w:b w:val="0"/>
                <w:sz w:val="15"/>
              </w:rPr>
              <w:t>Expectation</w:t>
            </w:r>
          </w:p>
        </w:tc>
        <w:tc>
          <w:tcPr>
            <w:tcW w:type="dxa" w:w="5040"/>
            <w:vAlign w:val="top"/>
          </w:tcPr>
          <w:p>
            <w:r/>
            <w:r>
              <w:rPr>
                <w:rFonts w:ascii="Aptos" w:hAnsi="Aptos"/>
                <w:b w:val="0"/>
                <w:sz w:val="15"/>
              </w:rPr>
              <w:t>Use controller-estimated transition distributions based only on legitimate evidence.</w:t>
            </w:r>
          </w:p>
        </w:tc>
      </w:tr>
      <w:tr>
        <w:tc>
          <w:tcPr>
            <w:tcW w:type="dxa" w:w="5040"/>
            <w:vAlign w:val="top"/>
          </w:tcPr>
          <w:p>
            <w:r/>
            <w:r>
              <w:rPr>
                <w:rFonts w:ascii="Aptos" w:hAnsi="Aptos"/>
                <w:b w:val="0"/>
                <w:sz w:val="15"/>
              </w:rPr>
              <w:t>Risk penalty</w:t>
            </w:r>
          </w:p>
        </w:tc>
        <w:tc>
          <w:tcPr>
            <w:tcW w:type="dxa" w:w="5040"/>
            <w:vAlign w:val="top"/>
          </w:tcPr>
          <w:p>
            <w:r/>
            <w:r>
              <w:rPr>
                <w:rFonts w:ascii="Aptos" w:hAnsi="Aptos"/>
                <w:b w:val="0"/>
                <w:sz w:val="15"/>
              </w:rPr>
              <w:t>Proposed CVaR at 90% on total horizon loss, mixed 75% expected loss / 25% CVaR.</w:t>
            </w:r>
          </w:p>
        </w:tc>
      </w:tr>
      <w:tr>
        <w:tc>
          <w:tcPr>
            <w:tcW w:type="dxa" w:w="5040"/>
            <w:vAlign w:val="top"/>
          </w:tcPr>
          <w:p>
            <w:r/>
            <w:r>
              <w:rPr>
                <w:rFonts w:ascii="Aptos" w:hAnsi="Aptos"/>
                <w:b w:val="0"/>
                <w:sz w:val="15"/>
              </w:rPr>
              <w:t>Hard constraints</w:t>
            </w:r>
          </w:p>
        </w:tc>
        <w:tc>
          <w:tcPr>
            <w:tcW w:type="dxa" w:w="5040"/>
            <w:vAlign w:val="top"/>
          </w:tcPr>
          <w:p>
            <w:r/>
            <w:r>
              <w:rPr>
                <w:rFonts w:ascii="Aptos" w:hAnsi="Aptos"/>
                <w:b w:val="0"/>
                <w:sz w:val="15"/>
              </w:rPr>
              <w:t>Physical impossibility, institutional prohibition, negative cash without realized financing, double allocation, and explicit safety blocks remain hard rather than merely expensive.</w:t>
            </w:r>
          </w:p>
        </w:tc>
      </w:tr>
      <w:tr>
        <w:tc>
          <w:tcPr>
            <w:tcW w:type="dxa" w:w="5040"/>
            <w:vAlign w:val="top"/>
          </w:tcPr>
          <w:p>
            <w:r/>
            <w:r>
              <w:rPr>
                <w:rFonts w:ascii="Aptos" w:hAnsi="Aptos"/>
                <w:b w:val="0"/>
                <w:sz w:val="15"/>
              </w:rPr>
              <w:t>Uncertain feasibility</w:t>
            </w:r>
          </w:p>
        </w:tc>
        <w:tc>
          <w:tcPr>
            <w:tcW w:type="dxa" w:w="5040"/>
            <w:vAlign w:val="top"/>
          </w:tcPr>
          <w:p>
            <w:r/>
            <w:r>
              <w:rPr>
                <w:rFonts w:ascii="Aptos" w:hAnsi="Aptos"/>
                <w:b w:val="0"/>
                <w:sz w:val="15"/>
              </w:rPr>
              <w:t>May model chance/robust constraints where evidence supports uncertainty.</w:t>
            </w:r>
          </w:p>
        </w:tc>
      </w:tr>
      <w:tr>
        <w:tc>
          <w:tcPr>
            <w:tcW w:type="dxa" w:w="5040"/>
            <w:vAlign w:val="top"/>
          </w:tcPr>
          <w:p>
            <w:r/>
            <w:r>
              <w:rPr>
                <w:rFonts w:ascii="Aptos" w:hAnsi="Aptos"/>
                <w:b w:val="0"/>
                <w:sz w:val="15"/>
              </w:rPr>
              <w:t>Terminal events</w:t>
            </w:r>
          </w:p>
        </w:tc>
        <w:tc>
          <w:tcPr>
            <w:tcW w:type="dxa" w:w="5040"/>
            <w:vAlign w:val="top"/>
          </w:tcPr>
          <w:p>
            <w:r/>
            <w:r>
              <w:rPr>
                <w:rFonts w:ascii="Aptos" w:hAnsi="Aptos"/>
                <w:b w:val="0"/>
                <w:sz w:val="15"/>
              </w:rPr>
              <w:t>Finite large penalty frozen before execution; not mathematical infinity unless action is literally prohibited.</w:t>
            </w:r>
          </w:p>
        </w:tc>
      </w:tr>
      <w:tr>
        <w:tc>
          <w:tcPr>
            <w:tcW w:type="dxa" w:w="5040"/>
            <w:vAlign w:val="top"/>
          </w:tcPr>
          <w:p>
            <w:r/>
            <w:r>
              <w:rPr>
                <w:rFonts w:ascii="Aptos" w:hAnsi="Aptos"/>
                <w:b w:val="0"/>
                <w:sz w:val="15"/>
              </w:rPr>
              <w:t>Replanning</w:t>
            </w:r>
          </w:p>
        </w:tc>
        <w:tc>
          <w:tcPr>
            <w:tcW w:type="dxa" w:w="5040"/>
            <w:vAlign w:val="top"/>
          </w:tcPr>
          <w:p>
            <w:r/>
            <w:r>
              <w:rPr>
                <w:rFonts w:ascii="Aptos" w:hAnsi="Aptos"/>
                <w:b w:val="0"/>
                <w:sz w:val="15"/>
              </w:rPr>
              <w:t>Solve again each period from new PRE evidence; prior plan is not binding unless it created real commitments/encumbrances.</w:t>
            </w:r>
          </w:p>
        </w:tc>
      </w:tr>
    </w:tbl>
    <w:p>
      <w:pPr>
        <w:spacing w:after="20"/>
      </w:pPr>
    </w:p>
    <w:p>
      <w:pPr>
        <w:pStyle w:val="Heading1"/>
      </w:pPr>
      <w:r>
        <w:t>14. Scalar History and Belief Model</w:t>
      </w:r>
    </w:p>
    <w:p>
      <w:r>
        <w:t>Comparator B is allowed a competent persistent state estimator. It receives the same raw evidence history and may maintain scoped reliability/transition estimates for S1, S2, T, C, and L.</w:t>
      </w:r>
    </w:p>
    <w:p>
      <w:pPr>
        <w:pStyle w:val="ListBullet"/>
        <w:spacing w:after="20"/>
      </w:pPr>
      <w:r>
        <w:t>History features may include exponentially decayed execution reliability, observed defect rates with uncertainty, disclosure accuracy, delivery performance, qualification evidence, and contract response history.</w:t>
      </w:r>
    </w:p>
    <w:p>
      <w:pPr>
        <w:pStyle w:val="ListBullet"/>
        <w:spacing w:after="20"/>
      </w:pPr>
      <w:r>
        <w:t>Source correlation must be respected where known; repeated S1 statements do not become independent samples.</w:t>
      </w:r>
    </w:p>
    <w:p>
      <w:pPr>
        <w:pStyle w:val="ListBullet"/>
        <w:spacing w:after="20"/>
      </w:pPr>
      <w:r>
        <w:t>The scalar estimator cannot train on oracle truth.</w:t>
      </w:r>
    </w:p>
    <w:p>
      <w:pPr>
        <w:pStyle w:val="ListBullet"/>
        <w:spacing w:after="20"/>
      </w:pPr>
      <w:r>
        <w:t>The exact estimator is frozen before execution and included in the implementation manifest.</w:t>
      </w:r>
    </w:p>
    <w:p>
      <w:pPr>
        <w:pStyle w:val="ListBullet"/>
        <w:spacing w:after="20"/>
      </w:pPr>
      <w:r>
        <w:t>This avoids comparing typed PV-PP memory against a deliberately memoryless optimizer.</w:t>
      </w:r>
    </w:p>
    <w:p>
      <w:pPr>
        <w:pStyle w:val="Heading1"/>
      </w:pPr>
      <w:r>
        <w:t>15. Scalar Planning Horizon</w:t>
      </w:r>
    </w:p>
    <w:p>
      <w:r>
        <w:t>Primary B horizon is four future weekly transitions, matching the proposed PV-PP projection depth. It may optimize contingent receding-horizon action sequences subject to the action grammar. If exact branching becomes computationally prohibitive, both A and B must be placed under the same pre-frozen scenario/sample budget rather than shortening only B.</w:t>
      </w:r>
    </w:p>
    <w:p>
      <w:pPr>
        <w:pStyle w:val="Heading1"/>
      </w:pPr>
      <w:r>
        <w:t>16. Regime C - Constrained Myopic / Local Controller</w:t>
      </w:r>
    </w:p>
    <w:p>
      <w:r>
        <w:t>Comparator C represents a competent operations manager using current feasible information and local priorities without an explicit multi-period recovery-corridor optimizer. It replans each week and honors persistent commitments created by earlier actions.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6"/>
              </w:rPr>
              <w:t>Priority order</w:t>
            </w:r>
          </w:p>
        </w:tc>
        <w:tc>
          <w:tcPr>
            <w:tcW w:type="dxa" w:w="5040"/>
            <w:vAlign w:val="top"/>
            <w:shd w:fill="D9E2F3"/>
          </w:tcPr>
          <w:p>
            <w:r/>
            <w:r>
              <w:rPr>
                <w:rFonts w:ascii="Aptos" w:hAnsi="Aptos"/>
                <w:b/>
                <w:sz w:val="16"/>
              </w:rPr>
              <w:t>Local rule</w:t>
            </w:r>
          </w:p>
        </w:tc>
      </w:tr>
      <w:tr>
        <w:tc>
          <w:tcPr>
            <w:tcW w:type="dxa" w:w="5040"/>
            <w:vAlign w:val="top"/>
          </w:tcPr>
          <w:p>
            <w:r/>
            <w:r>
              <w:rPr>
                <w:rFonts w:ascii="Aptos" w:hAnsi="Aptos"/>
                <w:b w:val="0"/>
                <w:sz w:val="15"/>
              </w:rPr>
              <w:t>1 Safety / legality</w:t>
            </w:r>
          </w:p>
        </w:tc>
        <w:tc>
          <w:tcPr>
            <w:tcW w:type="dxa" w:w="5040"/>
            <w:vAlign w:val="top"/>
          </w:tcPr>
          <w:p>
            <w:r/>
            <w:r>
              <w:rPr>
                <w:rFonts w:ascii="Aptos" w:hAnsi="Aptos"/>
                <w:b w:val="0"/>
                <w:sz w:val="15"/>
              </w:rPr>
              <w:t>Reject actions currently known to violate certification, mandatory containment, or physical feasibility.</w:t>
            </w:r>
          </w:p>
        </w:tc>
      </w:tr>
      <w:tr>
        <w:tc>
          <w:tcPr>
            <w:tcW w:type="dxa" w:w="5040"/>
            <w:vAlign w:val="top"/>
          </w:tcPr>
          <w:p>
            <w:r/>
            <w:r>
              <w:rPr>
                <w:rFonts w:ascii="Aptos" w:hAnsi="Aptos"/>
                <w:b w:val="0"/>
                <w:sz w:val="15"/>
              </w:rPr>
              <w:t>2 Current committed delivery</w:t>
            </w:r>
          </w:p>
        </w:tc>
        <w:tc>
          <w:tcPr>
            <w:tcW w:type="dxa" w:w="5040"/>
            <w:vAlign w:val="top"/>
          </w:tcPr>
          <w:p>
            <w:r/>
            <w:r>
              <w:rPr>
                <w:rFonts w:ascii="Aptos" w:hAnsi="Aptos"/>
                <w:b w:val="0"/>
                <w:sz w:val="15"/>
              </w:rPr>
              <w:t>Prefer feasible actions that satisfy the current accepted customer commitment.</w:t>
            </w:r>
          </w:p>
        </w:tc>
      </w:tr>
      <w:tr>
        <w:tc>
          <w:tcPr>
            <w:tcW w:type="dxa" w:w="5040"/>
            <w:vAlign w:val="top"/>
          </w:tcPr>
          <w:p>
            <w:r/>
            <w:r>
              <w:rPr>
                <w:rFonts w:ascii="Aptos" w:hAnsi="Aptos"/>
                <w:b w:val="0"/>
                <w:sz w:val="15"/>
              </w:rPr>
              <w:t>3 Current cash viability</w:t>
            </w:r>
          </w:p>
        </w:tc>
        <w:tc>
          <w:tcPr>
            <w:tcW w:type="dxa" w:w="5040"/>
            <w:vAlign w:val="top"/>
          </w:tcPr>
          <w:p>
            <w:r/>
            <w:r>
              <w:rPr>
                <w:rFonts w:ascii="Aptos" w:hAnsi="Aptos"/>
                <w:b w:val="0"/>
                <w:sz w:val="15"/>
              </w:rPr>
              <w:t>Avoid actions that make current-period cash negative or trigger known immediate default when an alternative preserves operation.</w:t>
            </w:r>
          </w:p>
        </w:tc>
      </w:tr>
      <w:tr>
        <w:tc>
          <w:tcPr>
            <w:tcW w:type="dxa" w:w="5040"/>
            <w:vAlign w:val="top"/>
          </w:tcPr>
          <w:p>
            <w:r/>
            <w:r>
              <w:rPr>
                <w:rFonts w:ascii="Aptos" w:hAnsi="Aptos"/>
                <w:b w:val="0"/>
                <w:sz w:val="15"/>
              </w:rPr>
              <w:t>4 Current quality containment</w:t>
            </w:r>
          </w:p>
        </w:tc>
        <w:tc>
          <w:tcPr>
            <w:tcW w:type="dxa" w:w="5040"/>
            <w:vAlign w:val="top"/>
          </w:tcPr>
          <w:p>
            <w:r/>
            <w:r>
              <w:rPr>
                <w:rFonts w:ascii="Aptos" w:hAnsi="Aptos"/>
                <w:b w:val="0"/>
                <w:sz w:val="15"/>
              </w:rPr>
              <w:t>Use fresh direct quality evidence to avoid known defective output; elevated inspection can outrank marginal delivery.</w:t>
            </w:r>
          </w:p>
        </w:tc>
      </w:tr>
      <w:tr>
        <w:tc>
          <w:tcPr>
            <w:tcW w:type="dxa" w:w="5040"/>
            <w:vAlign w:val="top"/>
          </w:tcPr>
          <w:p>
            <w:r/>
            <w:r>
              <w:rPr>
                <w:rFonts w:ascii="Aptos" w:hAnsi="Aptos"/>
                <w:b w:val="0"/>
                <w:sz w:val="15"/>
              </w:rPr>
              <w:t>5 Current operating cost</w:t>
            </w:r>
          </w:p>
        </w:tc>
        <w:tc>
          <w:tcPr>
            <w:tcW w:type="dxa" w:w="5040"/>
            <w:vAlign w:val="top"/>
          </w:tcPr>
          <w:p>
            <w:r/>
            <w:r>
              <w:rPr>
                <w:rFonts w:ascii="Aptos" w:hAnsi="Aptos"/>
                <w:b w:val="0"/>
                <w:sz w:val="15"/>
              </w:rPr>
              <w:t>Among otherwise comparable current-period actions, prefer lower immediate resource/cash burden.</w:t>
            </w:r>
          </w:p>
        </w:tc>
      </w:tr>
      <w:tr>
        <w:tc>
          <w:tcPr>
            <w:tcW w:type="dxa" w:w="5040"/>
            <w:vAlign w:val="top"/>
          </w:tcPr>
          <w:p>
            <w:r/>
            <w:r>
              <w:rPr>
                <w:rFonts w:ascii="Aptos" w:hAnsi="Aptos"/>
                <w:b w:val="0"/>
                <w:sz w:val="15"/>
              </w:rPr>
              <w:t>6 Recent reliability</w:t>
            </w:r>
          </w:p>
        </w:tc>
        <w:tc>
          <w:tcPr>
            <w:tcW w:type="dxa" w:w="5040"/>
            <w:vAlign w:val="top"/>
          </w:tcPr>
          <w:p>
            <w:r/>
            <w:r>
              <w:rPr>
                <w:rFonts w:ascii="Aptos" w:hAnsi="Aptos"/>
                <w:b w:val="0"/>
                <w:sz w:val="15"/>
              </w:rPr>
              <w:t>Use a frozen recent-history reliability summary to choose among counterparties/logistics where current consequences are otherwise similar.</w:t>
            </w:r>
          </w:p>
        </w:tc>
      </w:tr>
      <w:tr>
        <w:tc>
          <w:tcPr>
            <w:tcW w:type="dxa" w:w="5040"/>
            <w:vAlign w:val="top"/>
          </w:tcPr>
          <w:p>
            <w:r/>
            <w:r>
              <w:rPr>
                <w:rFonts w:ascii="Aptos" w:hAnsi="Aptos"/>
                <w:b w:val="0"/>
                <w:sz w:val="15"/>
              </w:rPr>
              <w:t>7 Tie-break</w:t>
            </w:r>
          </w:p>
        </w:tc>
        <w:tc>
          <w:tcPr>
            <w:tcW w:type="dxa" w:w="5040"/>
            <w:vAlign w:val="top"/>
          </w:tcPr>
          <w:p>
            <w:r/>
            <w:r>
              <w:rPr>
                <w:rFonts w:ascii="Aptos" w:hAnsi="Aptos"/>
                <w:b w:val="0"/>
                <w:sz w:val="15"/>
              </w:rPr>
              <w:t>Prefer reversible action; then lower encumbrance; then deterministic action ID.</w:t>
            </w:r>
          </w:p>
        </w:tc>
      </w:tr>
    </w:tbl>
    <w:p>
      <w:pPr>
        <w:spacing w:after="20"/>
      </w:pPr>
    </w:p>
    <w:p>
      <w:pPr>
        <w:pStyle w:val="Heading1"/>
      </w:pPr>
      <w:r>
        <w:t>17. Local Controller History</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6"/>
              </w:rPr>
              <w:t>Feature</w:t>
            </w:r>
          </w:p>
        </w:tc>
        <w:tc>
          <w:tcPr>
            <w:tcW w:type="dxa" w:w="5040"/>
            <w:vAlign w:val="top"/>
            <w:shd w:fill="D9E2F3"/>
          </w:tcPr>
          <w:p>
            <w:r/>
            <w:r>
              <w:rPr>
                <w:rFonts w:ascii="Aptos" w:hAnsi="Aptos"/>
                <w:b/>
                <w:sz w:val="16"/>
              </w:rPr>
              <w:t>Proposed rule</w:t>
            </w:r>
          </w:p>
        </w:tc>
      </w:tr>
      <w:tr>
        <w:tc>
          <w:tcPr>
            <w:tcW w:type="dxa" w:w="5040"/>
            <w:vAlign w:val="top"/>
          </w:tcPr>
          <w:p>
            <w:r/>
            <w:r>
              <w:rPr>
                <w:rFonts w:ascii="Aptos" w:hAnsi="Aptos"/>
                <w:b w:val="0"/>
                <w:sz w:val="15"/>
              </w:rPr>
              <w:t>Window</w:t>
            </w:r>
          </w:p>
        </w:tc>
        <w:tc>
          <w:tcPr>
            <w:tcW w:type="dxa" w:w="5040"/>
            <w:vAlign w:val="top"/>
          </w:tcPr>
          <w:p>
            <w:r/>
            <w:r>
              <w:rPr>
                <w:rFonts w:ascii="Aptos" w:hAnsi="Aptos"/>
                <w:b w:val="0"/>
                <w:sz w:val="15"/>
              </w:rPr>
              <w:t>Most recent 4 periods plus current period.</w:t>
            </w:r>
          </w:p>
        </w:tc>
      </w:tr>
      <w:tr>
        <w:tc>
          <w:tcPr>
            <w:tcW w:type="dxa" w:w="5040"/>
            <w:vAlign w:val="top"/>
          </w:tcPr>
          <w:p>
            <w:r/>
            <w:r>
              <w:rPr>
                <w:rFonts w:ascii="Aptos" w:hAnsi="Aptos"/>
                <w:b w:val="0"/>
                <w:sz w:val="15"/>
              </w:rPr>
              <w:t>Summary</w:t>
            </w:r>
          </w:p>
        </w:tc>
        <w:tc>
          <w:tcPr>
            <w:tcW w:type="dxa" w:w="5040"/>
            <w:vAlign w:val="top"/>
          </w:tcPr>
          <w:p>
            <w:r/>
            <w:r>
              <w:rPr>
                <w:rFonts w:ascii="Aptos" w:hAnsi="Aptos"/>
                <w:b w:val="0"/>
                <w:sz w:val="15"/>
              </w:rPr>
              <w:t>Delivery reliability, observed defect rate, message contradiction count, transport failure count, current covenant trend.</w:t>
            </w:r>
          </w:p>
        </w:tc>
      </w:tr>
      <w:tr>
        <w:tc>
          <w:tcPr>
            <w:tcW w:type="dxa" w:w="5040"/>
            <w:vAlign w:val="top"/>
          </w:tcPr>
          <w:p>
            <w:r/>
            <w:r>
              <w:rPr>
                <w:rFonts w:ascii="Aptos" w:hAnsi="Aptos"/>
                <w:b w:val="0"/>
                <w:sz w:val="15"/>
              </w:rPr>
              <w:t>Older history</w:t>
            </w:r>
          </w:p>
        </w:tc>
        <w:tc>
          <w:tcPr>
            <w:tcW w:type="dxa" w:w="5040"/>
            <w:vAlign w:val="top"/>
          </w:tcPr>
          <w:p>
            <w:r/>
            <w:r>
              <w:rPr>
                <w:rFonts w:ascii="Aptos" w:hAnsi="Aptos"/>
                <w:b w:val="0"/>
                <w:sz w:val="15"/>
              </w:rPr>
              <w:t>Not directly retrieved unless present in current authoritative contract/institutional records.</w:t>
            </w:r>
          </w:p>
        </w:tc>
      </w:tr>
      <w:tr>
        <w:tc>
          <w:tcPr>
            <w:tcW w:type="dxa" w:w="5040"/>
            <w:vAlign w:val="top"/>
          </w:tcPr>
          <w:p>
            <w:r/>
            <w:r>
              <w:rPr>
                <w:rFonts w:ascii="Aptos" w:hAnsi="Aptos"/>
                <w:b w:val="0"/>
                <w:sz w:val="15"/>
              </w:rPr>
              <w:t>No recovery corridor</w:t>
            </w:r>
          </w:p>
        </w:tc>
        <w:tc>
          <w:tcPr>
            <w:tcW w:type="dxa" w:w="5040"/>
            <w:vAlign w:val="top"/>
          </w:tcPr>
          <w:p>
            <w:r/>
            <w:r>
              <w:rPr>
                <w:rFonts w:ascii="Aptos" w:hAnsi="Aptos"/>
                <w:b w:val="0"/>
                <w:sz w:val="15"/>
              </w:rPr>
              <w:t>C does not explicitly project sustainable three-period recovery or optimize delayed restoration.</w:t>
            </w:r>
          </w:p>
        </w:tc>
      </w:tr>
      <w:tr>
        <w:tc>
          <w:tcPr>
            <w:tcW w:type="dxa" w:w="5040"/>
            <w:vAlign w:val="top"/>
          </w:tcPr>
          <w:p>
            <w:r/>
            <w:r>
              <w:rPr>
                <w:rFonts w:ascii="Aptos" w:hAnsi="Aptos"/>
                <w:b w:val="0"/>
                <w:sz w:val="15"/>
              </w:rPr>
              <w:t>Delayed consequence knowledge</w:t>
            </w:r>
          </w:p>
        </w:tc>
        <w:tc>
          <w:tcPr>
            <w:tcW w:type="dxa" w:w="5040"/>
            <w:vAlign w:val="top"/>
          </w:tcPr>
          <w:p>
            <w:r/>
            <w:r>
              <w:rPr>
                <w:rFonts w:ascii="Aptos" w:hAnsi="Aptos"/>
                <w:b w:val="0"/>
                <w:sz w:val="15"/>
              </w:rPr>
              <w:t>If a delayed risk is currently known (e.g. shortcut rework field-failure probability), it can affect current safety/quality priority, but C does not optimize the full future cascade.</w:t>
            </w:r>
          </w:p>
        </w:tc>
      </w:tr>
    </w:tbl>
    <w:p>
      <w:pPr>
        <w:spacing w:after="20"/>
      </w:pPr>
    </w:p>
    <w:p>
      <w:pPr>
        <w:pStyle w:val="Heading1"/>
      </w:pPr>
      <w:r>
        <w:t>18. Why Comparator C Is Not a Strawman</w:t>
      </w:r>
    </w:p>
    <w:p>
      <w:pPr>
        <w:pStyle w:val="ListBullet"/>
        <w:spacing w:after="20"/>
      </w:pPr>
      <w:r>
        <w:t>It has hard feasibility and institutional checks.</w:t>
      </w:r>
    </w:p>
    <w:p>
      <w:pPr>
        <w:pStyle w:val="ListBullet"/>
        <w:spacing w:after="20"/>
      </w:pPr>
      <w:r>
        <w:t>It sees current uncertainty and recent reliability.</w:t>
      </w:r>
    </w:p>
    <w:p>
      <w:pPr>
        <w:pStyle w:val="ListBullet"/>
        <w:spacing w:after="20"/>
      </w:pPr>
      <w:r>
        <w:t>It honors persistent commitments and encumbrances.</w:t>
      </w:r>
    </w:p>
    <w:p>
      <w:pPr>
        <w:pStyle w:val="ListBullet"/>
        <w:spacing w:after="20"/>
      </w:pPr>
      <w:r>
        <w:t>It can inspect, renegotiate, borrow, qualify S2, pause, reserve logistics, or choose no action when those actions are legitimately known.</w:t>
      </w:r>
    </w:p>
    <w:p>
      <w:pPr>
        <w:pStyle w:val="ListBullet"/>
        <w:spacing w:after="20"/>
      </w:pPr>
      <w:r>
        <w:t>It can outperform more elaborate controllers in stable environments because it avoids unnecessary adaptation cost.</w:t>
      </w:r>
    </w:p>
    <w:p>
      <w:pPr>
        <w:pStyle w:val="ListBullet"/>
        <w:spacing w:after="20"/>
      </w:pPr>
      <w:r>
        <w:t>Its defining limitation is local decision horizon, not incompetence or missing factual information.</w:t>
      </w:r>
    </w:p>
    <w:p>
      <w:pPr>
        <w:pStyle w:val="Heading1"/>
      </w:pPr>
      <w:r>
        <w:t>19. Action-Space Parity</w:t>
      </w:r>
    </w:p>
    <w:p>
      <w:r>
        <w:t>A, B, and C must be able to issue the same role-valid world actions. An action cannot be available only to PV-PP because its internal candidate architecture discovered it. Discovery affects whether the controller considers a legitimately known action, not whether the world API permits the action.</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6"/>
              </w:rPr>
              <w:t>Example</w:t>
            </w:r>
          </w:p>
        </w:tc>
        <w:tc>
          <w:tcPr>
            <w:tcW w:type="dxa" w:w="5040"/>
            <w:vAlign w:val="top"/>
            <w:shd w:fill="D9E2F3"/>
          </w:tcPr>
          <w:p>
            <w:r/>
            <w:r>
              <w:rPr>
                <w:rFonts w:ascii="Aptos" w:hAnsi="Aptos"/>
                <w:b/>
                <w:sz w:val="16"/>
              </w:rPr>
              <w:t>Fairness treatment</w:t>
            </w:r>
          </w:p>
        </w:tc>
      </w:tr>
      <w:tr>
        <w:tc>
          <w:tcPr>
            <w:tcW w:type="dxa" w:w="5040"/>
            <w:vAlign w:val="top"/>
          </w:tcPr>
          <w:p>
            <w:r/>
            <w:r>
              <w:rPr>
                <w:rFonts w:ascii="Aptos" w:hAnsi="Aptos"/>
                <w:b w:val="0"/>
                <w:sz w:val="15"/>
              </w:rPr>
              <w:t>Qualify S2</w:t>
            </w:r>
          </w:p>
        </w:tc>
        <w:tc>
          <w:tcPr>
            <w:tcW w:type="dxa" w:w="5040"/>
            <w:vAlign w:val="top"/>
          </w:tcPr>
          <w:p>
            <w:r/>
            <w:r>
              <w:rPr>
                <w:rFonts w:ascii="Aptos" w:hAnsi="Aptos"/>
                <w:b w:val="0"/>
                <w:sz w:val="15"/>
              </w:rPr>
              <w:t>World action exists for every regime once M legitimately knows the pathway.</w:t>
            </w:r>
          </w:p>
        </w:tc>
      </w:tr>
      <w:tr>
        <w:tc>
          <w:tcPr>
            <w:tcW w:type="dxa" w:w="5040"/>
            <w:vAlign w:val="top"/>
          </w:tcPr>
          <w:p>
            <w:r/>
            <w:r>
              <w:rPr>
                <w:rFonts w:ascii="Aptos" w:hAnsi="Aptos"/>
                <w:b w:val="0"/>
                <w:sz w:val="15"/>
              </w:rPr>
              <w:t>Emergency qualification</w:t>
            </w:r>
          </w:p>
        </w:tc>
        <w:tc>
          <w:tcPr>
            <w:tcW w:type="dxa" w:w="5040"/>
            <w:vAlign w:val="top"/>
          </w:tcPr>
          <w:p>
            <w:r/>
            <w:r>
              <w:rPr>
                <w:rFonts w:ascii="Aptos" w:hAnsi="Aptos"/>
                <w:b w:val="0"/>
                <w:sz w:val="15"/>
              </w:rPr>
              <w:t>Available to all after legitimate R activation notice and prerequisites.</w:t>
            </w:r>
          </w:p>
        </w:tc>
      </w:tr>
      <w:tr>
        <w:tc>
          <w:tcPr>
            <w:tcW w:type="dxa" w:w="5040"/>
            <w:vAlign w:val="top"/>
          </w:tcPr>
          <w:p>
            <w:r/>
            <w:r>
              <w:rPr>
                <w:rFonts w:ascii="Aptos" w:hAnsi="Aptos"/>
                <w:b w:val="0"/>
                <w:sz w:val="15"/>
              </w:rPr>
              <w:t>Supplier assistance</w:t>
            </w:r>
          </w:p>
        </w:tc>
        <w:tc>
          <w:tcPr>
            <w:tcW w:type="dxa" w:w="5040"/>
            <w:vAlign w:val="top"/>
          </w:tcPr>
          <w:p>
            <w:r/>
            <w:r>
              <w:rPr>
                <w:rFonts w:ascii="Aptos" w:hAnsi="Aptos"/>
                <w:b w:val="0"/>
                <w:sz w:val="15"/>
              </w:rPr>
              <w:t>Available to all if known and jointly feasible.</w:t>
            </w:r>
          </w:p>
        </w:tc>
      </w:tr>
      <w:tr>
        <w:tc>
          <w:tcPr>
            <w:tcW w:type="dxa" w:w="5040"/>
            <w:vAlign w:val="top"/>
          </w:tcPr>
          <w:p>
            <w:r/>
            <w:r>
              <w:rPr>
                <w:rFonts w:ascii="Aptos" w:hAnsi="Aptos"/>
                <w:b w:val="0"/>
                <w:sz w:val="15"/>
              </w:rPr>
              <w:t>Customer renegotiation</w:t>
            </w:r>
          </w:p>
        </w:tc>
        <w:tc>
          <w:tcPr>
            <w:tcW w:type="dxa" w:w="5040"/>
            <w:vAlign w:val="top"/>
          </w:tcPr>
          <w:p>
            <w:r/>
            <w:r>
              <w:rPr>
                <w:rFonts w:ascii="Aptos" w:hAnsi="Aptos"/>
                <w:b w:val="0"/>
                <w:sz w:val="15"/>
              </w:rPr>
              <w:t>Available to all under same contract terms.</w:t>
            </w:r>
          </w:p>
        </w:tc>
      </w:tr>
      <w:tr>
        <w:tc>
          <w:tcPr>
            <w:tcW w:type="dxa" w:w="5040"/>
            <w:vAlign w:val="top"/>
          </w:tcPr>
          <w:p>
            <w:r/>
            <w:r>
              <w:rPr>
                <w:rFonts w:ascii="Aptos" w:hAnsi="Aptos"/>
                <w:b w:val="0"/>
                <w:sz w:val="15"/>
              </w:rPr>
              <w:t>Shortcut rework</w:t>
            </w:r>
          </w:p>
        </w:tc>
        <w:tc>
          <w:tcPr>
            <w:tcW w:type="dxa" w:w="5040"/>
            <w:vAlign w:val="top"/>
          </w:tcPr>
          <w:p>
            <w:r/>
            <w:r>
              <w:rPr>
                <w:rFonts w:ascii="Aptos" w:hAnsi="Aptos"/>
                <w:b w:val="0"/>
                <w:sz w:val="15"/>
              </w:rPr>
              <w:t>Available to all when physical eligibility is observed/known.</w:t>
            </w:r>
          </w:p>
        </w:tc>
      </w:tr>
      <w:tr>
        <w:tc>
          <w:tcPr>
            <w:tcW w:type="dxa" w:w="5040"/>
            <w:vAlign w:val="top"/>
          </w:tcPr>
          <w:p>
            <w:r/>
            <w:r>
              <w:rPr>
                <w:rFonts w:ascii="Aptos" w:hAnsi="Aptos"/>
                <w:b w:val="0"/>
                <w:sz w:val="15"/>
              </w:rPr>
              <w:t>Hidden unknown rescue supplier</w:t>
            </w:r>
          </w:p>
        </w:tc>
        <w:tc>
          <w:tcPr>
            <w:tcW w:type="dxa" w:w="5040"/>
            <w:vAlign w:val="top"/>
          </w:tcPr>
          <w:p>
            <w:r/>
            <w:r>
              <w:rPr>
                <w:rFonts w:ascii="Aptos" w:hAnsi="Aptos"/>
                <w:b w:val="0"/>
                <w:sz w:val="15"/>
              </w:rPr>
              <w:t>Available to none until a legitimate information event reveals it.</w:t>
            </w:r>
          </w:p>
        </w:tc>
      </w:tr>
      <w:tr>
        <w:tc>
          <w:tcPr>
            <w:tcW w:type="dxa" w:w="5040"/>
            <w:vAlign w:val="top"/>
          </w:tcPr>
          <w:p>
            <w:r/>
            <w:r>
              <w:rPr>
                <w:rFonts w:ascii="Aptos" w:hAnsi="Aptos"/>
                <w:b w:val="0"/>
                <w:sz w:val="15"/>
              </w:rPr>
              <w:t>Oracle-only action</w:t>
            </w:r>
          </w:p>
        </w:tc>
        <w:tc>
          <w:tcPr>
            <w:tcW w:type="dxa" w:w="5040"/>
            <w:vAlign w:val="top"/>
          </w:tcPr>
          <w:p>
            <w:r/>
            <w:r>
              <w:rPr>
                <w:rFonts w:ascii="Aptos" w:hAnsi="Aptos"/>
                <w:b w:val="0"/>
                <w:sz w:val="15"/>
              </w:rPr>
              <w:t>Never included in primary controller action schema.</w:t>
            </w:r>
          </w:p>
        </w:tc>
      </w:tr>
    </w:tbl>
    <w:p>
      <w:pPr>
        <w:spacing w:after="20"/>
      </w:pPr>
    </w:p>
    <w:p>
      <w:pPr>
        <w:pStyle w:val="Heading1"/>
      </w:pPr>
      <w:r>
        <w:t>20. Proposal and Counterparty Handling</w:t>
      </w:r>
    </w:p>
    <w:p>
      <w:r>
        <w:t>Controllers may propose actions requiring another agent. The proposing controller cannot assume acceptance. Counterparties decide under their own regime in homogeneous runs or under a frozen counterpart policy in focal-agent sensitivity runs.</w:t>
      </w:r>
    </w:p>
    <w:p>
      <w:pPr>
        <w:pStyle w:val="ListBullet"/>
        <w:spacing w:after="20"/>
      </w:pPr>
      <w:r>
        <w:t>Proposals include explicit terms and expiry.</w:t>
      </w:r>
    </w:p>
    <w:p>
      <w:pPr>
        <w:pStyle w:val="ListBullet"/>
        <w:spacing w:after="20"/>
      </w:pPr>
      <w:r>
        <w:t>World v0.4 joint-feasibility rules resolve compatible acceptances.</w:t>
      </w:r>
    </w:p>
    <w:p>
      <w:pPr>
        <w:pStyle w:val="ListBullet"/>
        <w:spacing w:after="20"/>
      </w:pPr>
      <w:r>
        <w:t>Rejected proposals do not consume physical resources unless a specified proposal cost exists.</w:t>
      </w:r>
    </w:p>
    <w:p>
      <w:pPr>
        <w:pStyle w:val="ListBullet"/>
        <w:spacing w:after="20"/>
      </w:pPr>
      <w:r>
        <w:t>Accepted proposals create real commitments/encumbrances.</w:t>
      </w:r>
    </w:p>
    <w:p>
      <w:pPr>
        <w:pStyle w:val="ListBullet"/>
        <w:spacing w:after="20"/>
      </w:pPr>
      <w:r>
        <w:t>Same-phase fallback is permitted only where the action grammar and computation budget allow it equally across regimes.</w:t>
      </w:r>
    </w:p>
    <w:p>
      <w:pPr>
        <w:pStyle w:val="Heading1"/>
      </w:pPr>
      <w:r>
        <w:t>21. Primary Population Design</w:t>
      </w:r>
    </w:p>
    <w:p>
      <w:r>
        <w:t>The primary system experiment uses homogeneous controller-family populations for the economic agents M, S1, S2, C, L, and T. R remains a frozen institutional rule process. Thus run A uses PV-PP-family controllers in all six economic roles, run B uses scalar-family controllers, and run C uses local-family controllers, with role-specific objectives/actions but common regime principles.</w:t>
      </w:r>
    </w:p>
    <w:p>
      <w:r>
        <w:t>This is the strongest test of whether a decision architecture produces coherent network behavior, but it makes causal attribution difficult because counterpart behavior changes too.</w:t>
      </w:r>
    </w:p>
    <w:p>
      <w:pPr>
        <w:pStyle w:val="Heading1"/>
      </w:pPr>
      <w:r>
        <w:t>22. Focal-Manufacturer Sensitivity</w:t>
      </w:r>
    </w:p>
    <w:p>
      <w:r>
        <w:t>A secondary experiment changes only M's controller while S1, S2, C, L, and T use the same frozen counterpart policy. This panel is diagnostic, not the primary system claim. It isolates whether differences originate in M's architecture rather than network-wide endogenous coordination.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2F3"/>
          </w:tcPr>
          <w:p>
            <w:r/>
            <w:r>
              <w:rPr>
                <w:rFonts w:ascii="Aptos" w:hAnsi="Aptos"/>
                <w:b/>
                <w:sz w:val="16"/>
              </w:rPr>
              <w:t>Panel</w:t>
            </w:r>
          </w:p>
        </w:tc>
        <w:tc>
          <w:tcPr>
            <w:tcW w:type="dxa" w:w="3360"/>
            <w:vAlign w:val="top"/>
            <w:shd w:fill="D9E2F3"/>
          </w:tcPr>
          <w:p>
            <w:r/>
            <w:r>
              <w:rPr>
                <w:rFonts w:ascii="Aptos" w:hAnsi="Aptos"/>
                <w:b/>
                <w:sz w:val="16"/>
              </w:rPr>
              <w:t>M</w:t>
            </w:r>
          </w:p>
        </w:tc>
        <w:tc>
          <w:tcPr>
            <w:tcW w:type="dxa" w:w="3360"/>
            <w:vAlign w:val="top"/>
            <w:shd w:fill="D9E2F3"/>
          </w:tcPr>
          <w:p>
            <w:r/>
            <w:r>
              <w:rPr>
                <w:rFonts w:ascii="Aptos" w:hAnsi="Aptos"/>
                <w:b/>
                <w:sz w:val="16"/>
              </w:rPr>
              <w:t>Counterparties</w:t>
            </w:r>
          </w:p>
        </w:tc>
      </w:tr>
      <w:tr>
        <w:tc>
          <w:tcPr>
            <w:tcW w:type="dxa" w:w="3360"/>
            <w:vAlign w:val="top"/>
          </w:tcPr>
          <w:p>
            <w:r/>
            <w:r>
              <w:rPr>
                <w:rFonts w:ascii="Aptos" w:hAnsi="Aptos"/>
                <w:b w:val="0"/>
                <w:sz w:val="15"/>
              </w:rPr>
              <w:t>FM-A</w:t>
            </w:r>
          </w:p>
        </w:tc>
        <w:tc>
          <w:tcPr>
            <w:tcW w:type="dxa" w:w="3360"/>
            <w:vAlign w:val="top"/>
          </w:tcPr>
          <w:p>
            <w:r/>
            <w:r>
              <w:rPr>
                <w:rFonts w:ascii="Aptos" w:hAnsi="Aptos"/>
                <w:b w:val="0"/>
                <w:sz w:val="15"/>
              </w:rPr>
              <w:t>PV-PP</w:t>
            </w:r>
          </w:p>
        </w:tc>
        <w:tc>
          <w:tcPr>
            <w:tcW w:type="dxa" w:w="3360"/>
            <w:vAlign w:val="top"/>
          </w:tcPr>
          <w:p>
            <w:r/>
            <w:r>
              <w:rPr>
                <w:rFonts w:ascii="Aptos" w:hAnsi="Aptos"/>
                <w:b w:val="0"/>
                <w:sz w:val="15"/>
              </w:rPr>
              <w:t>Frozen common counterpart policy</w:t>
            </w:r>
          </w:p>
        </w:tc>
      </w:tr>
      <w:tr>
        <w:tc>
          <w:tcPr>
            <w:tcW w:type="dxa" w:w="3360"/>
            <w:vAlign w:val="top"/>
          </w:tcPr>
          <w:p>
            <w:r/>
            <w:r>
              <w:rPr>
                <w:rFonts w:ascii="Aptos" w:hAnsi="Aptos"/>
                <w:b w:val="0"/>
                <w:sz w:val="15"/>
              </w:rPr>
              <w:t>FM-B</w:t>
            </w:r>
          </w:p>
        </w:tc>
        <w:tc>
          <w:tcPr>
            <w:tcW w:type="dxa" w:w="3360"/>
            <w:vAlign w:val="top"/>
          </w:tcPr>
          <w:p>
            <w:r/>
            <w:r>
              <w:rPr>
                <w:rFonts w:ascii="Aptos" w:hAnsi="Aptos"/>
                <w:b w:val="0"/>
                <w:sz w:val="15"/>
              </w:rPr>
              <w:t>Scalar B0 / sensitivity variants</w:t>
            </w:r>
          </w:p>
        </w:tc>
        <w:tc>
          <w:tcPr>
            <w:tcW w:type="dxa" w:w="3360"/>
            <w:vAlign w:val="top"/>
          </w:tcPr>
          <w:p>
            <w:r/>
            <w:r>
              <w:rPr>
                <w:rFonts w:ascii="Aptos" w:hAnsi="Aptos"/>
                <w:b w:val="0"/>
                <w:sz w:val="15"/>
              </w:rPr>
              <w:t>Same frozen common counterpart policy</w:t>
            </w:r>
          </w:p>
        </w:tc>
      </w:tr>
      <w:tr>
        <w:tc>
          <w:tcPr>
            <w:tcW w:type="dxa" w:w="3360"/>
            <w:vAlign w:val="top"/>
          </w:tcPr>
          <w:p>
            <w:r/>
            <w:r>
              <w:rPr>
                <w:rFonts w:ascii="Aptos" w:hAnsi="Aptos"/>
                <w:b w:val="0"/>
                <w:sz w:val="15"/>
              </w:rPr>
              <w:t>FM-C</w:t>
            </w:r>
          </w:p>
        </w:tc>
        <w:tc>
          <w:tcPr>
            <w:tcW w:type="dxa" w:w="3360"/>
            <w:vAlign w:val="top"/>
          </w:tcPr>
          <w:p>
            <w:r/>
            <w:r>
              <w:rPr>
                <w:rFonts w:ascii="Aptos" w:hAnsi="Aptos"/>
                <w:b w:val="0"/>
                <w:sz w:val="15"/>
              </w:rPr>
              <w:t>Local</w:t>
            </w:r>
          </w:p>
        </w:tc>
        <w:tc>
          <w:tcPr>
            <w:tcW w:type="dxa" w:w="3360"/>
            <w:vAlign w:val="top"/>
          </w:tcPr>
          <w:p>
            <w:r/>
            <w:r>
              <w:rPr>
                <w:rFonts w:ascii="Aptos" w:hAnsi="Aptos"/>
                <w:b w:val="0"/>
                <w:sz w:val="15"/>
              </w:rPr>
              <w:t>Same frozen common counterpart policy</w:t>
            </w:r>
          </w:p>
        </w:tc>
      </w:tr>
    </w:tbl>
    <w:p>
      <w:pPr>
        <w:spacing w:after="20"/>
      </w:pPr>
    </w:p>
    <w:p>
      <w:pPr>
        <w:pStyle w:val="Heading1"/>
      </w:pPr>
      <w:r>
        <w:t>23. Role-Specific Objective Mapping for Comparator B</w:t>
      </w:r>
    </w:p>
    <w:p>
      <w:r>
        <w:t>Homogeneous scalar populations do not imply every agent optimizes M's loss. Each role uses the same constrained weighted-scalar architecture but role-appropriate domain measures.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6"/>
              </w:rPr>
              <w:t>Role</w:t>
            </w:r>
          </w:p>
        </w:tc>
        <w:tc>
          <w:tcPr>
            <w:tcW w:type="dxa" w:w="5040"/>
            <w:vAlign w:val="top"/>
            <w:shd w:fill="D9E2F3"/>
          </w:tcPr>
          <w:p>
            <w:r/>
            <w:r>
              <w:rPr>
                <w:rFonts w:ascii="Aptos" w:hAnsi="Aptos"/>
                <w:b/>
                <w:sz w:val="16"/>
              </w:rPr>
              <w:t>Principal scalar soft dimensions</w:t>
            </w:r>
          </w:p>
        </w:tc>
      </w:tr>
      <w:tr>
        <w:tc>
          <w:tcPr>
            <w:tcW w:type="dxa" w:w="5040"/>
            <w:vAlign w:val="top"/>
          </w:tcPr>
          <w:p>
            <w:r/>
            <w:r>
              <w:rPr>
                <w:rFonts w:ascii="Aptos" w:hAnsi="Aptos"/>
                <w:b w:val="0"/>
                <w:sz w:val="15"/>
              </w:rPr>
              <w:t>M</w:t>
            </w:r>
          </w:p>
        </w:tc>
        <w:tc>
          <w:tcPr>
            <w:tcW w:type="dxa" w:w="5040"/>
            <w:vAlign w:val="top"/>
          </w:tcPr>
          <w:p>
            <w:r/>
            <w:r>
              <w:rPr>
                <w:rFonts w:ascii="Aptos" w:hAnsi="Aptos"/>
                <w:b w:val="0"/>
                <w:sz w:val="15"/>
              </w:rPr>
              <w:t>Delivery, shortage exposure, cash/covenant, M capability, quality, adaptation cost, recovery/irreversibility.</w:t>
            </w:r>
          </w:p>
        </w:tc>
      </w:tr>
      <w:tr>
        <w:tc>
          <w:tcPr>
            <w:tcW w:type="dxa" w:w="5040"/>
            <w:vAlign w:val="top"/>
          </w:tcPr>
          <w:p>
            <w:r/>
            <w:r>
              <w:rPr>
                <w:rFonts w:ascii="Aptos" w:hAnsi="Aptos"/>
                <w:b w:val="0"/>
                <w:sz w:val="15"/>
              </w:rPr>
              <w:t>S1</w:t>
            </w:r>
          </w:p>
        </w:tc>
        <w:tc>
          <w:tcPr>
            <w:tcW w:type="dxa" w:w="5040"/>
            <w:vAlign w:val="top"/>
          </w:tcPr>
          <w:p>
            <w:r/>
            <w:r>
              <w:rPr>
                <w:rFonts w:ascii="Aptos" w:hAnsi="Aptos"/>
                <w:b w:val="0"/>
                <w:sz w:val="15"/>
              </w:rPr>
              <w:t>Contract fulfillment, cash, line/quality capability, recovery cost, relationship/exit risk.</w:t>
            </w:r>
          </w:p>
        </w:tc>
      </w:tr>
      <w:tr>
        <w:tc>
          <w:tcPr>
            <w:tcW w:type="dxa" w:w="5040"/>
            <w:vAlign w:val="top"/>
          </w:tcPr>
          <w:p>
            <w:r/>
            <w:r>
              <w:rPr>
                <w:rFonts w:ascii="Aptos" w:hAnsi="Aptos"/>
                <w:b w:val="0"/>
                <w:sz w:val="15"/>
              </w:rPr>
              <w:t>S2</w:t>
            </w:r>
          </w:p>
        </w:tc>
        <w:tc>
          <w:tcPr>
            <w:tcW w:type="dxa" w:w="5040"/>
            <w:vAlign w:val="top"/>
          </w:tcPr>
          <w:p>
            <w:r/>
            <w:r>
              <w:rPr>
                <w:rFonts w:ascii="Aptos" w:hAnsi="Aptos"/>
                <w:b w:val="0"/>
                <w:sz w:val="15"/>
              </w:rPr>
              <w:t>Qualification/contract value, cash, capacity encumbrance, quality/capability, opportunity cost.</w:t>
            </w:r>
          </w:p>
        </w:tc>
      </w:tr>
      <w:tr>
        <w:tc>
          <w:tcPr>
            <w:tcW w:type="dxa" w:w="5040"/>
            <w:vAlign w:val="top"/>
          </w:tcPr>
          <w:p>
            <w:r/>
            <w:r>
              <w:rPr>
                <w:rFonts w:ascii="Aptos" w:hAnsi="Aptos"/>
                <w:b w:val="0"/>
                <w:sz w:val="15"/>
              </w:rPr>
              <w:t>C</w:t>
            </w:r>
          </w:p>
        </w:tc>
        <w:tc>
          <w:tcPr>
            <w:tcW w:type="dxa" w:w="5040"/>
            <w:vAlign w:val="top"/>
          </w:tcPr>
          <w:p>
            <w:r/>
            <w:r>
              <w:rPr>
                <w:rFonts w:ascii="Aptos" w:hAnsi="Aptos"/>
                <w:b w:val="0"/>
                <w:sz w:val="15"/>
              </w:rPr>
              <w:t>Reserve shortage, operational PP loss, quality risk, contract disruption, switching/renegotiation cost.</w:t>
            </w:r>
          </w:p>
        </w:tc>
      </w:tr>
      <w:tr>
        <w:tc>
          <w:tcPr>
            <w:tcW w:type="dxa" w:w="5040"/>
            <w:vAlign w:val="top"/>
          </w:tcPr>
          <w:p>
            <w:r/>
            <w:r>
              <w:rPr>
                <w:rFonts w:ascii="Aptos" w:hAnsi="Aptos"/>
                <w:b w:val="0"/>
                <w:sz w:val="15"/>
              </w:rPr>
              <w:t>L</w:t>
            </w:r>
          </w:p>
        </w:tc>
        <w:tc>
          <w:tcPr>
            <w:tcW w:type="dxa" w:w="5040"/>
            <w:vAlign w:val="top"/>
          </w:tcPr>
          <w:p>
            <w:r/>
            <w:r>
              <w:rPr>
                <w:rFonts w:ascii="Aptos" w:hAnsi="Aptos"/>
                <w:b w:val="0"/>
                <w:sz w:val="15"/>
              </w:rPr>
              <w:t>Expected credit loss, covenant deterioration, fee/return, workout cost, relationship continuity.</w:t>
            </w:r>
          </w:p>
        </w:tc>
      </w:tr>
      <w:tr>
        <w:tc>
          <w:tcPr>
            <w:tcW w:type="dxa" w:w="5040"/>
            <w:vAlign w:val="top"/>
          </w:tcPr>
          <w:p>
            <w:r/>
            <w:r>
              <w:rPr>
                <w:rFonts w:ascii="Aptos" w:hAnsi="Aptos"/>
                <w:b w:val="0"/>
                <w:sz w:val="15"/>
              </w:rPr>
              <w:t>T</w:t>
            </w:r>
          </w:p>
        </w:tc>
        <w:tc>
          <w:tcPr>
            <w:tcW w:type="dxa" w:w="5040"/>
            <w:vAlign w:val="top"/>
          </w:tcPr>
          <w:p>
            <w:r/>
            <w:r>
              <w:rPr>
                <w:rFonts w:ascii="Aptos" w:hAnsi="Aptos"/>
                <w:b w:val="0"/>
                <w:sz w:val="15"/>
              </w:rPr>
              <w:t>Reservation fulfillment, capacity utilization, failure cost, expedite burden, reliability.</w:t>
            </w:r>
          </w:p>
        </w:tc>
      </w:tr>
    </w:tbl>
    <w:p>
      <w:pPr>
        <w:spacing w:after="20"/>
      </w:pPr>
    </w:p>
    <w:p>
      <w:r>
        <w:t>Exact role-specific normalization/weights must be frozen in the implementation annex. They must be defensible independently of PV-PP outcomes.</w:t>
      </w:r>
    </w:p>
    <w:p>
      <w:pPr>
        <w:pStyle w:val="Heading1"/>
      </w:pPr>
      <w:r>
        <w:t>24. Role-Specific Local Rules</w:t>
      </w:r>
    </w:p>
    <w:p>
      <w:r>
        <w:t>Comparator C likewise uses the same local architecture with role-specific current-period priorities. For example, S1 prioritizes current contractual shipment subject to known quality/physical feasibility and cash; C prioritizes current productive continuity and quality; L prioritizes current covenant/credit safety and contractual return. These rules must be written before execution rather than improvised per scenario.</w:t>
      </w:r>
    </w:p>
    <w:p>
      <w:pPr>
        <w:pStyle w:val="Heading1"/>
      </w:pPr>
      <w:r>
        <w:t>25. Computational Budget Principle</w:t>
      </w:r>
    </w:p>
    <w:p>
      <w:r>
        <w:t>Exact computational equivalence between graph-bound PV-PP search and scalar optimization is impossible to define by algorithmic step count alone. The benchmark therefore uses a dual budget: equal wall-clock ceiling plus equal world-model evaluation ceiling per agent decision on the reference machine.</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6"/>
              </w:rPr>
              <w:t>Budget item</w:t>
            </w:r>
          </w:p>
        </w:tc>
        <w:tc>
          <w:tcPr>
            <w:tcW w:type="dxa" w:w="5040"/>
            <w:vAlign w:val="top"/>
            <w:shd w:fill="D9E2F3"/>
          </w:tcPr>
          <w:p>
            <w:r/>
            <w:r>
              <w:rPr>
                <w:rFonts w:ascii="Aptos" w:hAnsi="Aptos"/>
                <w:b/>
                <w:sz w:val="16"/>
              </w:rPr>
              <w:t>Proposed primary ceiling</w:t>
            </w:r>
          </w:p>
        </w:tc>
      </w:tr>
      <w:tr>
        <w:tc>
          <w:tcPr>
            <w:tcW w:type="dxa" w:w="5040"/>
            <w:vAlign w:val="top"/>
          </w:tcPr>
          <w:p>
            <w:r/>
            <w:r>
              <w:rPr>
                <w:rFonts w:ascii="Aptos" w:hAnsi="Aptos"/>
                <w:b w:val="0"/>
                <w:sz w:val="15"/>
              </w:rPr>
              <w:t>World-model transition evaluations</w:t>
            </w:r>
          </w:p>
        </w:tc>
        <w:tc>
          <w:tcPr>
            <w:tcW w:type="dxa" w:w="5040"/>
            <w:vAlign w:val="top"/>
          </w:tcPr>
          <w:p>
            <w:r/>
            <w:r>
              <w:rPr>
                <w:rFonts w:ascii="Aptos" w:hAnsi="Aptos"/>
                <w:b w:val="0"/>
                <w:sz w:val="15"/>
              </w:rPr>
              <w:t>10,000 per agent decision.</w:t>
            </w:r>
          </w:p>
        </w:tc>
      </w:tr>
      <w:tr>
        <w:tc>
          <w:tcPr>
            <w:tcW w:type="dxa" w:w="5040"/>
            <w:vAlign w:val="top"/>
          </w:tcPr>
          <w:p>
            <w:r/>
            <w:r>
              <w:rPr>
                <w:rFonts w:ascii="Aptos" w:hAnsi="Aptos"/>
                <w:b w:val="0"/>
                <w:sz w:val="15"/>
              </w:rPr>
              <w:t>Wall-clock</w:t>
            </w:r>
          </w:p>
        </w:tc>
        <w:tc>
          <w:tcPr>
            <w:tcW w:type="dxa" w:w="5040"/>
            <w:vAlign w:val="top"/>
          </w:tcPr>
          <w:p>
            <w:r/>
            <w:r>
              <w:rPr>
                <w:rFonts w:ascii="Aptos" w:hAnsi="Aptos"/>
                <w:b w:val="0"/>
                <w:sz w:val="15"/>
              </w:rPr>
              <w:t>2.0 seconds per agent decision on frozen reference hardware, excluding logging.</w:t>
            </w:r>
          </w:p>
        </w:tc>
      </w:tr>
      <w:tr>
        <w:tc>
          <w:tcPr>
            <w:tcW w:type="dxa" w:w="5040"/>
            <w:vAlign w:val="top"/>
          </w:tcPr>
          <w:p>
            <w:r/>
            <w:r>
              <w:rPr>
                <w:rFonts w:ascii="Aptos" w:hAnsi="Aptos"/>
                <w:b w:val="0"/>
                <w:sz w:val="15"/>
              </w:rPr>
              <w:t>Planning horizon</w:t>
            </w:r>
          </w:p>
        </w:tc>
        <w:tc>
          <w:tcPr>
            <w:tcW w:type="dxa" w:w="5040"/>
            <w:vAlign w:val="top"/>
          </w:tcPr>
          <w:p>
            <w:r/>
            <w:r>
              <w:rPr>
                <w:rFonts w:ascii="Aptos" w:hAnsi="Aptos"/>
                <w:b w:val="0"/>
                <w:sz w:val="15"/>
              </w:rPr>
              <w:t>4 future weekly transitions for A and B.</w:t>
            </w:r>
          </w:p>
        </w:tc>
      </w:tr>
      <w:tr>
        <w:tc>
          <w:tcPr>
            <w:tcW w:type="dxa" w:w="5040"/>
            <w:vAlign w:val="top"/>
          </w:tcPr>
          <w:p>
            <w:r/>
            <w:r>
              <w:rPr>
                <w:rFonts w:ascii="Aptos" w:hAnsi="Aptos"/>
                <w:b w:val="0"/>
                <w:sz w:val="15"/>
              </w:rPr>
              <w:t>Scenario/sample draws</w:t>
            </w:r>
          </w:p>
        </w:tc>
        <w:tc>
          <w:tcPr>
            <w:tcW w:type="dxa" w:w="5040"/>
            <w:vAlign w:val="top"/>
          </w:tcPr>
          <w:p>
            <w:r/>
            <w:r>
              <w:rPr>
                <w:rFonts w:ascii="Aptos" w:hAnsi="Aptos"/>
                <w:b w:val="0"/>
                <w:sz w:val="15"/>
              </w:rPr>
              <w:t>Maximum 256 stochastic rollout paths per candidate/search cycle where stochastic projection is used.</w:t>
            </w:r>
          </w:p>
        </w:tc>
      </w:tr>
      <w:tr>
        <w:tc>
          <w:tcPr>
            <w:tcW w:type="dxa" w:w="5040"/>
            <w:vAlign w:val="top"/>
          </w:tcPr>
          <w:p>
            <w:r/>
            <w:r>
              <w:rPr>
                <w:rFonts w:ascii="Aptos" w:hAnsi="Aptos"/>
                <w:b w:val="0"/>
                <w:sz w:val="15"/>
              </w:rPr>
              <w:t>Memory retrieval</w:t>
            </w:r>
          </w:p>
        </w:tc>
        <w:tc>
          <w:tcPr>
            <w:tcW w:type="dxa" w:w="5040"/>
            <w:vAlign w:val="top"/>
          </w:tcPr>
          <w:p>
            <w:r/>
            <w:r>
              <w:rPr>
                <w:rFonts w:ascii="Aptos" w:hAnsi="Aptos"/>
                <w:b w:val="0"/>
                <w:sz w:val="15"/>
              </w:rPr>
              <w:t>PV-PP bounded as Section 8; B estimator updates from same history; C four-period summary.</w:t>
            </w:r>
          </w:p>
        </w:tc>
      </w:tr>
      <w:tr>
        <w:tc>
          <w:tcPr>
            <w:tcW w:type="dxa" w:w="5040"/>
            <w:vAlign w:val="top"/>
          </w:tcPr>
          <w:p>
            <w:r/>
            <w:r>
              <w:rPr>
                <w:rFonts w:ascii="Aptos" w:hAnsi="Aptos"/>
                <w:b w:val="0"/>
                <w:sz w:val="15"/>
              </w:rPr>
              <w:t>Parallelism</w:t>
            </w:r>
          </w:p>
        </w:tc>
        <w:tc>
          <w:tcPr>
            <w:tcW w:type="dxa" w:w="5040"/>
            <w:vAlign w:val="top"/>
          </w:tcPr>
          <w:p>
            <w:r/>
            <w:r>
              <w:rPr>
                <w:rFonts w:ascii="Aptos" w:hAnsi="Aptos"/>
                <w:b w:val="0"/>
                <w:sz w:val="15"/>
              </w:rPr>
              <w:t>Same number of worker threads/processes per controller.</w:t>
            </w:r>
          </w:p>
        </w:tc>
      </w:tr>
      <w:tr>
        <w:tc>
          <w:tcPr>
            <w:tcW w:type="dxa" w:w="5040"/>
            <w:vAlign w:val="top"/>
          </w:tcPr>
          <w:p>
            <w:r/>
            <w:r>
              <w:rPr>
                <w:rFonts w:ascii="Aptos" w:hAnsi="Aptos"/>
                <w:b w:val="0"/>
                <w:sz w:val="15"/>
              </w:rPr>
              <w:t>Cache</w:t>
            </w:r>
          </w:p>
        </w:tc>
        <w:tc>
          <w:tcPr>
            <w:tcW w:type="dxa" w:w="5040"/>
            <w:vAlign w:val="top"/>
          </w:tcPr>
          <w:p>
            <w:r/>
            <w:r>
              <w:rPr>
                <w:rFonts w:ascii="Aptos" w:hAnsi="Aptos"/>
                <w:b w:val="0"/>
                <w:sz w:val="15"/>
              </w:rPr>
              <w:t>Permitted only if based on controller-legitimate state; cache policy logged and reset consistently.</w:t>
            </w:r>
          </w:p>
        </w:tc>
      </w:tr>
    </w:tbl>
    <w:p>
      <w:pPr>
        <w:spacing w:after="20"/>
      </w:pPr>
    </w:p>
    <w:p>
      <w:r>
        <w:t>These are proposed ceilings requiring dry-run calibration. The purpose is to prevent one architecture from receiving orders of magnitude more search while recognizing that different algorithms consume evaluations differently.</w:t>
      </w:r>
    </w:p>
    <w:p>
      <w:pPr>
        <w:pStyle w:val="Heading1"/>
      </w:pPr>
      <w:r>
        <w:t>26. Budget Exhaustion</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6"/>
              </w:rPr>
              <w:t>Condition</w:t>
            </w:r>
          </w:p>
        </w:tc>
        <w:tc>
          <w:tcPr>
            <w:tcW w:type="dxa" w:w="5040"/>
            <w:vAlign w:val="top"/>
            <w:shd w:fill="D9E2F3"/>
          </w:tcPr>
          <w:p>
            <w:r/>
            <w:r>
              <w:rPr>
                <w:rFonts w:ascii="Aptos" w:hAnsi="Aptos"/>
                <w:b/>
                <w:sz w:val="16"/>
              </w:rPr>
              <w:t>Required behavior</w:t>
            </w:r>
          </w:p>
        </w:tc>
      </w:tr>
      <w:tr>
        <w:tc>
          <w:tcPr>
            <w:tcW w:type="dxa" w:w="5040"/>
            <w:vAlign w:val="top"/>
          </w:tcPr>
          <w:p>
            <w:r/>
            <w:r>
              <w:rPr>
                <w:rFonts w:ascii="Aptos" w:hAnsi="Aptos"/>
                <w:b w:val="0"/>
                <w:sz w:val="15"/>
              </w:rPr>
              <w:t>Controller finishes within both ceilings</w:t>
            </w:r>
          </w:p>
        </w:tc>
        <w:tc>
          <w:tcPr>
            <w:tcW w:type="dxa" w:w="5040"/>
            <w:vAlign w:val="top"/>
          </w:tcPr>
          <w:p>
            <w:r/>
            <w:r>
              <w:rPr>
                <w:rFonts w:ascii="Aptos" w:hAnsi="Aptos"/>
                <w:b w:val="0"/>
                <w:sz w:val="15"/>
              </w:rPr>
              <w:t>Use selected action.</w:t>
            </w:r>
          </w:p>
        </w:tc>
      </w:tr>
      <w:tr>
        <w:tc>
          <w:tcPr>
            <w:tcW w:type="dxa" w:w="5040"/>
            <w:vAlign w:val="top"/>
          </w:tcPr>
          <w:p>
            <w:r/>
            <w:r>
              <w:rPr>
                <w:rFonts w:ascii="Aptos" w:hAnsi="Aptos"/>
                <w:b w:val="0"/>
                <w:sz w:val="15"/>
              </w:rPr>
              <w:t>World-evaluation ceiling reached first</w:t>
            </w:r>
          </w:p>
        </w:tc>
        <w:tc>
          <w:tcPr>
            <w:tcW w:type="dxa" w:w="5040"/>
            <w:vAlign w:val="top"/>
          </w:tcPr>
          <w:p>
            <w:r/>
            <w:r>
              <w:rPr>
                <w:rFonts w:ascii="Aptos" w:hAnsi="Aptos"/>
                <w:b w:val="0"/>
                <w:sz w:val="15"/>
              </w:rPr>
              <w:t>Return best valid action found under frozen anytime rule.</w:t>
            </w:r>
          </w:p>
        </w:tc>
      </w:tr>
      <w:tr>
        <w:tc>
          <w:tcPr>
            <w:tcW w:type="dxa" w:w="5040"/>
            <w:vAlign w:val="top"/>
          </w:tcPr>
          <w:p>
            <w:r/>
            <w:r>
              <w:rPr>
                <w:rFonts w:ascii="Aptos" w:hAnsi="Aptos"/>
                <w:b w:val="0"/>
                <w:sz w:val="15"/>
              </w:rPr>
              <w:t>Wall-clock ceiling reached first</w:t>
            </w:r>
          </w:p>
        </w:tc>
        <w:tc>
          <w:tcPr>
            <w:tcW w:type="dxa" w:w="5040"/>
            <w:vAlign w:val="top"/>
          </w:tcPr>
          <w:p>
            <w:r/>
            <w:r>
              <w:rPr>
                <w:rFonts w:ascii="Aptos" w:hAnsi="Aptos"/>
                <w:b w:val="0"/>
                <w:sz w:val="15"/>
              </w:rPr>
              <w:t>Return best valid action found; timeout recorded.</w:t>
            </w:r>
          </w:p>
        </w:tc>
      </w:tr>
      <w:tr>
        <w:tc>
          <w:tcPr>
            <w:tcW w:type="dxa" w:w="5040"/>
            <w:vAlign w:val="top"/>
          </w:tcPr>
          <w:p>
            <w:r/>
            <w:r>
              <w:rPr>
                <w:rFonts w:ascii="Aptos" w:hAnsi="Aptos"/>
                <w:b w:val="0"/>
                <w:sz w:val="15"/>
              </w:rPr>
              <w:t>No valid action found</w:t>
            </w:r>
          </w:p>
        </w:tc>
        <w:tc>
          <w:tcPr>
            <w:tcW w:type="dxa" w:w="5040"/>
            <w:vAlign w:val="top"/>
          </w:tcPr>
          <w:p>
            <w:r/>
            <w:r>
              <w:rPr>
                <w:rFonts w:ascii="Aptos" w:hAnsi="Aptos"/>
                <w:b w:val="0"/>
                <w:sz w:val="15"/>
              </w:rPr>
              <w:t>Return explicit no-action/safe fallback if defined; classify search failure if a valid known action existed but search failed.</w:t>
            </w:r>
          </w:p>
        </w:tc>
      </w:tr>
      <w:tr>
        <w:tc>
          <w:tcPr>
            <w:tcW w:type="dxa" w:w="5040"/>
            <w:vAlign w:val="top"/>
          </w:tcPr>
          <w:p>
            <w:r/>
            <w:r>
              <w:rPr>
                <w:rFonts w:ascii="Aptos" w:hAnsi="Aptos"/>
                <w:b w:val="0"/>
                <w:sz w:val="15"/>
              </w:rPr>
              <w:t>Repeated timeout</w:t>
            </w:r>
          </w:p>
        </w:tc>
        <w:tc>
          <w:tcPr>
            <w:tcW w:type="dxa" w:w="5040"/>
            <w:vAlign w:val="top"/>
          </w:tcPr>
          <w:p>
            <w:r/>
            <w:r>
              <w:rPr>
                <w:rFonts w:ascii="Aptos" w:hAnsi="Aptos"/>
                <w:b w:val="0"/>
                <w:sz w:val="15"/>
              </w:rPr>
              <w:t>Report as computational behavior; do not silently increase budget for that regime.</w:t>
            </w:r>
          </w:p>
        </w:tc>
      </w:tr>
      <w:tr>
        <w:tc>
          <w:tcPr>
            <w:tcW w:type="dxa" w:w="5040"/>
            <w:vAlign w:val="top"/>
          </w:tcPr>
          <w:p>
            <w:r/>
            <w:r>
              <w:rPr>
                <w:rFonts w:ascii="Aptos" w:hAnsi="Aptos"/>
                <w:b w:val="0"/>
                <w:sz w:val="15"/>
              </w:rPr>
              <w:t>Calibration shows one regime cannot execute basic conformance</w:t>
            </w:r>
          </w:p>
        </w:tc>
        <w:tc>
          <w:tcPr>
            <w:tcW w:type="dxa" w:w="5040"/>
            <w:vAlign w:val="top"/>
          </w:tcPr>
          <w:p>
            <w:r/>
            <w:r>
              <w:rPr>
                <w:rFonts w:ascii="Aptos" w:hAnsi="Aptos"/>
                <w:b w:val="0"/>
                <w:sz w:val="15"/>
              </w:rPr>
              <w:t>Resolve before freeze or report architecture/implementation infeasibility; do not handicap others post hoc.</w:t>
            </w:r>
          </w:p>
        </w:tc>
      </w:tr>
    </w:tbl>
    <w:p>
      <w:pPr>
        <w:spacing w:after="20"/>
      </w:pPr>
    </w:p>
    <w:p>
      <w:pPr>
        <w:pStyle w:val="Heading1"/>
      </w:pPr>
      <w:r>
        <w:t>27. Search and Candidate Enumeration</w:t>
      </w:r>
    </w:p>
    <w:p>
      <w:r>
        <w:t>World action schemas define finite parameter bounds and discretization for the benchmark. All regimes must face the same material decision granularity. PV-PP may prune using its architecture; B may optimize/search; C may apply rules. The benchmark must not give B an enormous continuous optimization problem while A receives a hand-curated small candidate set.</w:t>
      </w:r>
    </w:p>
    <w:p>
      <w:pPr>
        <w:pStyle w:val="ListBullet"/>
        <w:spacing w:after="20"/>
      </w:pPr>
      <w:r>
        <w:t>Quantities such as production, board orders, and rework are discretized in 10-unit increments unless the world specification requires exact commitment quantities.</w:t>
      </w:r>
    </w:p>
    <w:p>
      <w:pPr>
        <w:pStyle w:val="ListBullet"/>
        <w:spacing w:after="20"/>
      </w:pPr>
      <w:r>
        <w:t>Credit draws use $50k increments as specified.</w:t>
      </w:r>
    </w:p>
    <w:p>
      <w:pPr>
        <w:pStyle w:val="ListBullet"/>
        <w:spacing w:after="20"/>
      </w:pPr>
      <w:r>
        <w:t>Inspection levels are discrete action modes.</w:t>
      </w:r>
    </w:p>
    <w:p>
      <w:pPr>
        <w:pStyle w:val="ListBullet"/>
        <w:spacing w:after="20"/>
      </w:pPr>
      <w:r>
        <w:t>Qualification/reservation/renegotiation terms use finite frozen menus where negotiation is modeled.</w:t>
      </w:r>
    </w:p>
    <w:p>
      <w:pPr>
        <w:pStyle w:val="ListBullet"/>
        <w:spacing w:after="20"/>
      </w:pPr>
      <w:r>
        <w:t>Candidate/action counts per state are logged by regime for diagnostic comparison.</w:t>
      </w:r>
    </w:p>
    <w:p>
      <w:pPr>
        <w:pStyle w:val="Heading1"/>
      </w:pPr>
      <w:r>
        <w:t>28. Determinism and Tie-Breaking</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6"/>
              </w:rPr>
              <w:t>Source of tie</w:t>
            </w:r>
          </w:p>
        </w:tc>
        <w:tc>
          <w:tcPr>
            <w:tcW w:type="dxa" w:w="5040"/>
            <w:vAlign w:val="top"/>
            <w:shd w:fill="D9E2F3"/>
          </w:tcPr>
          <w:p>
            <w:r/>
            <w:r>
              <w:rPr>
                <w:rFonts w:ascii="Aptos" w:hAnsi="Aptos"/>
                <w:b/>
                <w:sz w:val="16"/>
              </w:rPr>
              <w:t>Rule</w:t>
            </w:r>
          </w:p>
        </w:tc>
      </w:tr>
      <w:tr>
        <w:tc>
          <w:tcPr>
            <w:tcW w:type="dxa" w:w="5040"/>
            <w:vAlign w:val="top"/>
          </w:tcPr>
          <w:p>
            <w:r/>
            <w:r>
              <w:rPr>
                <w:rFonts w:ascii="Aptos" w:hAnsi="Aptos"/>
                <w:b w:val="0"/>
                <w:sz w:val="15"/>
              </w:rPr>
              <w:t>Equal scalar objective within numerical tolerance</w:t>
            </w:r>
          </w:p>
        </w:tc>
        <w:tc>
          <w:tcPr>
            <w:tcW w:type="dxa" w:w="5040"/>
            <w:vAlign w:val="top"/>
          </w:tcPr>
          <w:p>
            <w:r/>
            <w:r>
              <w:rPr>
                <w:rFonts w:ascii="Aptos" w:hAnsi="Aptos"/>
                <w:b w:val="0"/>
                <w:sz w:val="15"/>
              </w:rPr>
              <w:t>Prefer lower irreversible-risk component, then lower immediate encumbrance, then deterministic action ID.</w:t>
            </w:r>
          </w:p>
        </w:tc>
      </w:tr>
      <w:tr>
        <w:tc>
          <w:tcPr>
            <w:tcW w:type="dxa" w:w="5040"/>
            <w:vAlign w:val="top"/>
          </w:tcPr>
          <w:p>
            <w:r/>
            <w:r>
              <w:rPr>
                <w:rFonts w:ascii="Aptos" w:hAnsi="Aptos"/>
                <w:b w:val="0"/>
                <w:sz w:val="15"/>
              </w:rPr>
              <w:t>Equal local priority outcome</w:t>
            </w:r>
          </w:p>
        </w:tc>
        <w:tc>
          <w:tcPr>
            <w:tcW w:type="dxa" w:w="5040"/>
            <w:vAlign w:val="top"/>
          </w:tcPr>
          <w:p>
            <w:r/>
            <w:r>
              <w:rPr>
                <w:rFonts w:ascii="Aptos" w:hAnsi="Aptos"/>
                <w:b w:val="0"/>
                <w:sz w:val="15"/>
              </w:rPr>
              <w:t>Prefer reversible action, then lower encumbrance, then deterministic action ID.</w:t>
            </w:r>
          </w:p>
        </w:tc>
      </w:tr>
      <w:tr>
        <w:tc>
          <w:tcPr>
            <w:tcW w:type="dxa" w:w="5040"/>
            <w:vAlign w:val="top"/>
          </w:tcPr>
          <w:p>
            <w:r/>
            <w:r>
              <w:rPr>
                <w:rFonts w:ascii="Aptos" w:hAnsi="Aptos"/>
                <w:b w:val="0"/>
                <w:sz w:val="15"/>
              </w:rPr>
              <w:t>PV-PP Sigma tie</w:t>
            </w:r>
          </w:p>
        </w:tc>
        <w:tc>
          <w:tcPr>
            <w:tcW w:type="dxa" w:w="5040"/>
            <w:vAlign w:val="top"/>
          </w:tcPr>
          <w:p>
            <w:r/>
            <w:r>
              <w:rPr>
                <w:rFonts w:ascii="Aptos" w:hAnsi="Aptos"/>
                <w:b w:val="0"/>
                <w:sz w:val="15"/>
              </w:rPr>
              <w:t>Use the frozen canonical tie rule. If canonical authority does not specify one, this is a formalization gap to resolve before execution.</w:t>
            </w:r>
          </w:p>
        </w:tc>
      </w:tr>
      <w:tr>
        <w:tc>
          <w:tcPr>
            <w:tcW w:type="dxa" w:w="5040"/>
            <w:vAlign w:val="top"/>
          </w:tcPr>
          <w:p>
            <w:r/>
            <w:r>
              <w:rPr>
                <w:rFonts w:ascii="Aptos" w:hAnsi="Aptos"/>
                <w:b w:val="0"/>
                <w:sz w:val="15"/>
              </w:rPr>
              <w:t>Stochastic planner sampling</w:t>
            </w:r>
          </w:p>
        </w:tc>
        <w:tc>
          <w:tcPr>
            <w:tcW w:type="dxa" w:w="5040"/>
            <w:vAlign w:val="top"/>
          </w:tcPr>
          <w:p>
            <w:r/>
            <w:r>
              <w:rPr>
                <w:rFonts w:ascii="Aptos" w:hAnsi="Aptos"/>
                <w:b w:val="0"/>
                <w:sz w:val="15"/>
              </w:rPr>
              <w:t>Common pre-frozen random stream where equivalent uncertainty is sampled.</w:t>
            </w:r>
          </w:p>
        </w:tc>
      </w:tr>
      <w:tr>
        <w:tc>
          <w:tcPr>
            <w:tcW w:type="dxa" w:w="5040"/>
            <w:vAlign w:val="top"/>
          </w:tcPr>
          <w:p>
            <w:r/>
            <w:r>
              <w:rPr>
                <w:rFonts w:ascii="Aptos" w:hAnsi="Aptos"/>
                <w:b w:val="0"/>
                <w:sz w:val="15"/>
              </w:rPr>
              <w:t>Shared resource conflict</w:t>
            </w:r>
          </w:p>
        </w:tc>
        <w:tc>
          <w:tcPr>
            <w:tcW w:type="dxa" w:w="5040"/>
            <w:vAlign w:val="top"/>
          </w:tcPr>
          <w:p>
            <w:r/>
            <w:r>
              <w:rPr>
                <w:rFonts w:ascii="Aptos" w:hAnsi="Aptos"/>
                <w:b w:val="0"/>
                <w:sz w:val="15"/>
              </w:rPr>
              <w:t>Resolved by world v0.4 allocation rule, never controller label.</w:t>
            </w:r>
          </w:p>
        </w:tc>
      </w:tr>
    </w:tbl>
    <w:p>
      <w:pPr>
        <w:spacing w:after="20"/>
      </w:pPr>
    </w:p>
    <w:p>
      <w:pPr>
        <w:pStyle w:val="Heading1"/>
      </w:pPr>
      <w:r>
        <w:t>29. Numerical Tolerance</w:t>
      </w:r>
    </w:p>
    <w:p>
      <w:r>
        <w:t>Floating-point equality/tolerance rules must be frozen. Proposed scalar-objective equality tolerance is relative 1e-8 plus absolute 1e-10. Physical integer resources remain exact. A tolerance cannot be chosen after observing which controller it favors.</w:t>
      </w:r>
    </w:p>
    <w:p>
      <w:pPr>
        <w:pStyle w:val="Heading1"/>
      </w:pPr>
      <w:r>
        <w:t>30. Controller Conformance Tests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6"/>
              </w:rPr>
              <w:t>Test</w:t>
            </w:r>
          </w:p>
        </w:tc>
        <w:tc>
          <w:tcPr>
            <w:tcW w:type="dxa" w:w="5040"/>
            <w:vAlign w:val="top"/>
            <w:shd w:fill="D9E2F3"/>
          </w:tcPr>
          <w:p>
            <w:r/>
            <w:r>
              <w:rPr>
                <w:rFonts w:ascii="Aptos" w:hAnsi="Aptos"/>
                <w:b/>
                <w:sz w:val="16"/>
              </w:rPr>
              <w:t>Pass condition</w:t>
            </w:r>
          </w:p>
        </w:tc>
      </w:tr>
      <w:tr>
        <w:tc>
          <w:tcPr>
            <w:tcW w:type="dxa" w:w="5040"/>
            <w:vAlign w:val="top"/>
          </w:tcPr>
          <w:p>
            <w:r/>
            <w:r>
              <w:rPr>
                <w:rFonts w:ascii="Aptos" w:hAnsi="Aptos"/>
                <w:b w:val="0"/>
                <w:sz w:val="15"/>
              </w:rPr>
              <w:t>C1 Information isolation</w:t>
            </w:r>
          </w:p>
        </w:tc>
        <w:tc>
          <w:tcPr>
            <w:tcW w:type="dxa" w:w="5040"/>
            <w:vAlign w:val="top"/>
          </w:tcPr>
          <w:p>
            <w:r/>
            <w:r>
              <w:rPr>
                <w:rFonts w:ascii="Aptos" w:hAnsi="Aptos"/>
                <w:b w:val="0"/>
                <w:sz w:val="15"/>
              </w:rPr>
              <w:t>No ORACLE/POST leakage.</w:t>
            </w:r>
          </w:p>
        </w:tc>
      </w:tr>
      <w:tr>
        <w:tc>
          <w:tcPr>
            <w:tcW w:type="dxa" w:w="5040"/>
            <w:vAlign w:val="top"/>
          </w:tcPr>
          <w:p>
            <w:r/>
            <w:r>
              <w:rPr>
                <w:rFonts w:ascii="Aptos" w:hAnsi="Aptos"/>
                <w:b w:val="0"/>
                <w:sz w:val="15"/>
              </w:rPr>
              <w:t>C2 Action parity</w:t>
            </w:r>
          </w:p>
        </w:tc>
        <w:tc>
          <w:tcPr>
            <w:tcW w:type="dxa" w:w="5040"/>
            <w:vAlign w:val="top"/>
          </w:tcPr>
          <w:p>
            <w:r/>
            <w:r>
              <w:rPr>
                <w:rFonts w:ascii="Aptos" w:hAnsi="Aptos"/>
                <w:b w:val="0"/>
                <w:sz w:val="15"/>
              </w:rPr>
              <w:t>All regimes can emit every legitimately known role-valid action.</w:t>
            </w:r>
          </w:p>
        </w:tc>
      </w:tr>
      <w:tr>
        <w:tc>
          <w:tcPr>
            <w:tcW w:type="dxa" w:w="5040"/>
            <w:vAlign w:val="top"/>
          </w:tcPr>
          <w:p>
            <w:r/>
            <w:r>
              <w:rPr>
                <w:rFonts w:ascii="Aptos" w:hAnsi="Aptos"/>
                <w:b w:val="0"/>
                <w:sz w:val="15"/>
              </w:rPr>
              <w:t>C3 Hard feasibility</w:t>
            </w:r>
          </w:p>
        </w:tc>
        <w:tc>
          <w:tcPr>
            <w:tcW w:type="dxa" w:w="5040"/>
            <w:vAlign w:val="top"/>
          </w:tcPr>
          <w:p>
            <w:r/>
            <w:r>
              <w:rPr>
                <w:rFonts w:ascii="Aptos" w:hAnsi="Aptos"/>
                <w:b w:val="0"/>
                <w:sz w:val="15"/>
              </w:rPr>
              <w:t>Controllers do not intentionally select known impossible/prohibited actions except where uncertainty makes feasibility genuinely unresolved.</w:t>
            </w:r>
          </w:p>
        </w:tc>
      </w:tr>
      <w:tr>
        <w:tc>
          <w:tcPr>
            <w:tcW w:type="dxa" w:w="5040"/>
            <w:vAlign w:val="top"/>
          </w:tcPr>
          <w:p>
            <w:r/>
            <w:r>
              <w:rPr>
                <w:rFonts w:ascii="Aptos" w:hAnsi="Aptos"/>
                <w:b w:val="0"/>
                <w:sz w:val="15"/>
              </w:rPr>
              <w:t>C4 Commitment persistence</w:t>
            </w:r>
          </w:p>
        </w:tc>
        <w:tc>
          <w:tcPr>
            <w:tcW w:type="dxa" w:w="5040"/>
            <w:vAlign w:val="top"/>
          </w:tcPr>
          <w:p>
            <w:r/>
            <w:r>
              <w:rPr>
                <w:rFonts w:ascii="Aptos" w:hAnsi="Aptos"/>
                <w:b w:val="0"/>
                <w:sz w:val="15"/>
              </w:rPr>
              <w:t>Controllers receive and respect the actual commitments created by prior execution.</w:t>
            </w:r>
          </w:p>
        </w:tc>
      </w:tr>
      <w:tr>
        <w:tc>
          <w:tcPr>
            <w:tcW w:type="dxa" w:w="5040"/>
            <w:vAlign w:val="top"/>
          </w:tcPr>
          <w:p>
            <w:r/>
            <w:r>
              <w:rPr>
                <w:rFonts w:ascii="Aptos" w:hAnsi="Aptos"/>
                <w:b w:val="0"/>
                <w:sz w:val="15"/>
              </w:rPr>
              <w:t>C5 Replanning</w:t>
            </w:r>
          </w:p>
        </w:tc>
        <w:tc>
          <w:tcPr>
            <w:tcW w:type="dxa" w:w="5040"/>
            <w:vAlign w:val="top"/>
          </w:tcPr>
          <w:p>
            <w:r/>
            <w:r>
              <w:rPr>
                <w:rFonts w:ascii="Aptos" w:hAnsi="Aptos"/>
                <w:b w:val="0"/>
                <w:sz w:val="15"/>
              </w:rPr>
              <w:t>A and B update from new evidence each period; C updates its local state.</w:t>
            </w:r>
          </w:p>
        </w:tc>
      </w:tr>
      <w:tr>
        <w:tc>
          <w:tcPr>
            <w:tcW w:type="dxa" w:w="5040"/>
            <w:vAlign w:val="top"/>
          </w:tcPr>
          <w:p>
            <w:r/>
            <w:r>
              <w:rPr>
                <w:rFonts w:ascii="Aptos" w:hAnsi="Aptos"/>
                <w:b w:val="0"/>
                <w:sz w:val="15"/>
              </w:rPr>
              <w:t>C6 History provenance</w:t>
            </w:r>
          </w:p>
        </w:tc>
        <w:tc>
          <w:tcPr>
            <w:tcW w:type="dxa" w:w="5040"/>
            <w:vAlign w:val="top"/>
          </w:tcPr>
          <w:p>
            <w:r/>
            <w:r>
              <w:rPr>
                <w:rFonts w:ascii="Aptos" w:hAnsi="Aptos"/>
                <w:b w:val="0"/>
                <w:sz w:val="15"/>
              </w:rPr>
              <w:t>Persistent belief/memory state is reconstructable from legitimate evidence.</w:t>
            </w:r>
          </w:p>
        </w:tc>
      </w:tr>
      <w:tr>
        <w:tc>
          <w:tcPr>
            <w:tcW w:type="dxa" w:w="5040"/>
            <w:vAlign w:val="top"/>
          </w:tcPr>
          <w:p>
            <w:r/>
            <w:r>
              <w:rPr>
                <w:rFonts w:ascii="Aptos" w:hAnsi="Aptos"/>
                <w:b w:val="0"/>
                <w:sz w:val="15"/>
              </w:rPr>
              <w:t>C7 No retrocausality</w:t>
            </w:r>
          </w:p>
        </w:tc>
        <w:tc>
          <w:tcPr>
            <w:tcW w:type="dxa" w:w="5040"/>
            <w:vAlign w:val="top"/>
          </w:tcPr>
          <w:p>
            <w:r/>
            <w:r>
              <w:rPr>
                <w:rFonts w:ascii="Aptos" w:hAnsi="Aptos"/>
                <w:b w:val="0"/>
                <w:sz w:val="15"/>
              </w:rPr>
              <w:t>Later outcomes do not alter archived earlier controller state.</w:t>
            </w:r>
          </w:p>
        </w:tc>
      </w:tr>
      <w:tr>
        <w:tc>
          <w:tcPr>
            <w:tcW w:type="dxa" w:w="5040"/>
            <w:vAlign w:val="top"/>
          </w:tcPr>
          <w:p>
            <w:r/>
            <w:r>
              <w:rPr>
                <w:rFonts w:ascii="Aptos" w:hAnsi="Aptos"/>
                <w:b w:val="0"/>
                <w:sz w:val="15"/>
              </w:rPr>
              <w:t>C8 Budget enforcement</w:t>
            </w:r>
          </w:p>
        </w:tc>
        <w:tc>
          <w:tcPr>
            <w:tcW w:type="dxa" w:w="5040"/>
            <w:vAlign w:val="top"/>
          </w:tcPr>
          <w:p>
            <w:r/>
            <w:r>
              <w:rPr>
                <w:rFonts w:ascii="Aptos" w:hAnsi="Aptos"/>
                <w:b w:val="0"/>
                <w:sz w:val="15"/>
              </w:rPr>
              <w:t>Same evaluation/time ceilings enforced and logged.</w:t>
            </w:r>
          </w:p>
        </w:tc>
      </w:tr>
      <w:tr>
        <w:tc>
          <w:tcPr>
            <w:tcW w:type="dxa" w:w="5040"/>
            <w:vAlign w:val="top"/>
          </w:tcPr>
          <w:p>
            <w:r/>
            <w:r>
              <w:rPr>
                <w:rFonts w:ascii="Aptos" w:hAnsi="Aptos"/>
                <w:b w:val="0"/>
                <w:sz w:val="15"/>
              </w:rPr>
              <w:t>C9 Deterministic replay</w:t>
            </w:r>
          </w:p>
        </w:tc>
        <w:tc>
          <w:tcPr>
            <w:tcW w:type="dxa" w:w="5040"/>
            <w:vAlign w:val="top"/>
          </w:tcPr>
          <w:p>
            <w:r/>
            <w:r>
              <w:rPr>
                <w:rFonts w:ascii="Aptos" w:hAnsi="Aptos"/>
                <w:b w:val="0"/>
                <w:sz w:val="15"/>
              </w:rPr>
              <w:t>Same packet, controller state, parameters, and seed reproduce the same proposal.</w:t>
            </w:r>
          </w:p>
        </w:tc>
      </w:tr>
      <w:tr>
        <w:tc>
          <w:tcPr>
            <w:tcW w:type="dxa" w:w="5040"/>
            <w:vAlign w:val="top"/>
          </w:tcPr>
          <w:p>
            <w:r/>
            <w:r>
              <w:rPr>
                <w:rFonts w:ascii="Aptos" w:hAnsi="Aptos"/>
                <w:b w:val="0"/>
                <w:sz w:val="15"/>
              </w:rPr>
              <w:t>C10 PV-PP stack order</w:t>
            </w:r>
          </w:p>
        </w:tc>
        <w:tc>
          <w:tcPr>
            <w:tcW w:type="dxa" w:w="5040"/>
            <w:vAlign w:val="top"/>
          </w:tcPr>
          <w:p>
            <w:r/>
            <w:r>
              <w:rPr>
                <w:rFonts w:ascii="Aptos" w:hAnsi="Aptos"/>
                <w:b w:val="0"/>
                <w:sz w:val="15"/>
              </w:rPr>
              <w:t>Trace shows canonical operator ordering with no downstream repair.</w:t>
            </w:r>
          </w:p>
        </w:tc>
      </w:tr>
      <w:tr>
        <w:tc>
          <w:tcPr>
            <w:tcW w:type="dxa" w:w="5040"/>
            <w:vAlign w:val="top"/>
          </w:tcPr>
          <w:p>
            <w:r/>
            <w:r>
              <w:rPr>
                <w:rFonts w:ascii="Aptos" w:hAnsi="Aptos"/>
                <w:b w:val="0"/>
                <w:sz w:val="15"/>
              </w:rPr>
              <w:t>C11 Scalar objective</w:t>
            </w:r>
          </w:p>
        </w:tc>
        <w:tc>
          <w:tcPr>
            <w:tcW w:type="dxa" w:w="5040"/>
            <w:vAlign w:val="top"/>
          </w:tcPr>
          <w:p>
            <w:r/>
            <w:r>
              <w:rPr>
                <w:rFonts w:ascii="Aptos" w:hAnsi="Aptos"/>
                <w:b w:val="0"/>
                <w:sz w:val="15"/>
              </w:rPr>
              <w:t>All loss components/normalization/weights match frozen manifest.</w:t>
            </w:r>
          </w:p>
        </w:tc>
      </w:tr>
      <w:tr>
        <w:tc>
          <w:tcPr>
            <w:tcW w:type="dxa" w:w="5040"/>
            <w:vAlign w:val="top"/>
          </w:tcPr>
          <w:p>
            <w:r/>
            <w:r>
              <w:rPr>
                <w:rFonts w:ascii="Aptos" w:hAnsi="Aptos"/>
                <w:b w:val="0"/>
                <w:sz w:val="15"/>
              </w:rPr>
              <w:t>C12 Local priorities</w:t>
            </w:r>
          </w:p>
        </w:tc>
        <w:tc>
          <w:tcPr>
            <w:tcW w:type="dxa" w:w="5040"/>
            <w:vAlign w:val="top"/>
          </w:tcPr>
          <w:p>
            <w:r/>
            <w:r>
              <w:rPr>
                <w:rFonts w:ascii="Aptos" w:hAnsi="Aptos"/>
                <w:b w:val="0"/>
                <w:sz w:val="15"/>
              </w:rPr>
              <w:t>Rule ordering matches frozen manifest.</w:t>
            </w:r>
          </w:p>
        </w:tc>
      </w:tr>
    </w:tbl>
    <w:p>
      <w:pPr>
        <w:spacing w:after="20"/>
      </w:pPr>
    </w:p>
    <w:p>
      <w:pPr>
        <w:pStyle w:val="Heading1"/>
      </w:pPr>
      <w:r>
        <w:t>31. Calm-World Sanity Test</w:t>
      </w:r>
    </w:p>
    <w:p>
      <w:r>
        <w:t>Before stress execution, all regimes must run a healthy Asterion world for at least six periods. A credible benchmark should permit routine stable behavior. PV-PP should not be rewarded for unnecessary complexity; B should not constantly reoptimize into expensive adaptation; C should not fail simply because it is local.</w:t>
      </w:r>
    </w:p>
    <w:p>
      <w:pPr>
        <w:pStyle w:val="ListBullet"/>
        <w:spacing w:after="20"/>
      </w:pPr>
      <w:r>
        <w:t>Expected result is broadly similar production/delivery continuity.</w:t>
      </w:r>
    </w:p>
    <w:p>
      <w:pPr>
        <w:pStyle w:val="ListBullet"/>
        <w:spacing w:after="20"/>
      </w:pPr>
      <w:r>
        <w:t>Early S2 qualification may occur only if a controller's frozen policy rationally justifies the cost; if every sophisticated controller always qualifies immediately, the fixture likely lacks meaningful option value.</w:t>
      </w:r>
    </w:p>
    <w:p>
      <w:pPr>
        <w:pStyle w:val="ListBullet"/>
        <w:spacing w:after="20"/>
      </w:pPr>
      <w:r>
        <w:t>Large performance gaps in the calm world trigger a fixture/controller audit before stress runs.</w:t>
      </w:r>
    </w:p>
    <w:p>
      <w:pPr>
        <w:pStyle w:val="Heading1"/>
      </w:pPr>
      <w:r>
        <w:t>32. Pre-Result Comparator Calibration</w:t>
      </w:r>
    </w:p>
    <w:p>
      <w:r>
        <w:t>Calibration is allowed only before primary comparative outcomes are generated. It is for numerical stability and competence, not for equalizing performance.</w:t>
      </w:r>
    </w:p>
    <w:p>
      <w:pPr>
        <w:spacing w:after="20"/>
        <w:ind w:left="317" w:hanging="259"/>
      </w:pPr>
      <w:r>
        <w:rPr>
          <w:b/>
        </w:rPr>
        <w:t xml:space="preserve">1. </w:t>
      </w:r>
      <w:r>
        <w:t>Verify B solves small hand-checkable constrained planning cases correctly.</w:t>
      </w:r>
    </w:p>
    <w:p>
      <w:pPr>
        <w:spacing w:after="20"/>
        <w:ind w:left="317" w:hanging="259"/>
      </w:pPr>
      <w:r>
        <w:rPr>
          <w:b/>
        </w:rPr>
        <w:t xml:space="preserve">2. </w:t>
      </w:r>
      <w:r>
        <w:t>Verify B weight-panel members produce sensible but distinct tradeoffs.</w:t>
      </w:r>
    </w:p>
    <w:p>
      <w:pPr>
        <w:spacing w:after="20"/>
        <w:ind w:left="317" w:hanging="259"/>
      </w:pPr>
      <w:r>
        <w:rPr>
          <w:b/>
        </w:rPr>
        <w:t xml:space="preserve">3. </w:t>
      </w:r>
      <w:r>
        <w:t>Verify C follows its stated priorities on hand traces.</w:t>
      </w:r>
    </w:p>
    <w:p>
      <w:pPr>
        <w:spacing w:after="20"/>
        <w:ind w:left="317" w:hanging="259"/>
      </w:pPr>
      <w:r>
        <w:rPr>
          <w:b/>
        </w:rPr>
        <w:t xml:space="preserve">4. </w:t>
      </w:r>
      <w:r>
        <w:t>Verify A implements the canonical stack and can represent all required benchmark distinctions.</w:t>
      </w:r>
    </w:p>
    <w:p>
      <w:pPr>
        <w:spacing w:after="20"/>
        <w:ind w:left="317" w:hanging="259"/>
      </w:pPr>
      <w:r>
        <w:rPr>
          <w:b/>
        </w:rPr>
        <w:t xml:space="preserve">5. </w:t>
      </w:r>
      <w:r>
        <w:t>Verify all regimes handle no-action and no-adequate-policy states.</w:t>
      </w:r>
    </w:p>
    <w:p>
      <w:pPr>
        <w:spacing w:after="20"/>
        <w:ind w:left="317" w:hanging="259"/>
      </w:pPr>
      <w:r>
        <w:rPr>
          <w:b/>
        </w:rPr>
        <w:t xml:space="preserve">6. </w:t>
      </w:r>
      <w:r>
        <w:t>Verify computational ceilings allow routine decisions to finish.</w:t>
      </w:r>
    </w:p>
    <w:p>
      <w:pPr>
        <w:spacing w:after="20"/>
        <w:ind w:left="317" w:hanging="259"/>
      </w:pPr>
      <w:r>
        <w:rPr>
          <w:b/>
        </w:rPr>
        <w:t xml:space="preserve">7. </w:t>
      </w:r>
      <w:r>
        <w:t>Freeze code/configuration hashes after calibration.</w:t>
      </w:r>
    </w:p>
    <w:p>
      <w:pPr>
        <w:spacing w:after="20"/>
        <w:ind w:left="317" w:hanging="259"/>
      </w:pPr>
      <w:r>
        <w:rPr>
          <w:b/>
        </w:rPr>
        <w:t xml:space="preserve">8. </w:t>
      </w:r>
      <w:r>
        <w:t>Do not retune because one regime subsequently performs poorly.</w:t>
      </w:r>
    </w:p>
    <w:p>
      <w:pPr>
        <w:pStyle w:val="Heading1"/>
      </w:pPr>
      <w:r>
        <w:t>33. Primary Comparison Outputs</w:t>
      </w:r>
    </w:p>
    <w:p>
      <w:r>
        <w:t>Controllers are not compared by their internal scores. They are compared using the external domain-native outcomes defined by the benchmark: committed units fulfilled, physical shortage, quality escapes, PP vector preservation, viable agents, irreversible transitions, recovery achieved/time, completed productive exchanges, resource depletion, adaptation cost, cascades, and terminal conditions.</w:t>
      </w:r>
    </w:p>
    <w:p>
      <w:r>
        <w:t>Scalar B's objective value may be reported diagnostically but cannot serve as the cross-regime benchmark score.</w:t>
      </w:r>
    </w:p>
    <w:p>
      <w:pPr>
        <w:pStyle w:val="Heading1"/>
      </w:pPr>
      <w:r>
        <w:t>34. Interpreting PV-PP Advantage</w:t>
      </w:r>
    </w:p>
    <w:p>
      <w:pPr>
        <w:pStyle w:val="ListBullet"/>
        <w:spacing w:after="20"/>
      </w:pPr>
      <w:r>
        <w:t>A PV-PP advantage is local to the frozen Asterion benchmark and tested parameter region.</w:t>
      </w:r>
    </w:p>
    <w:p>
      <w:pPr>
        <w:pStyle w:val="ListBullet"/>
        <w:spacing w:after="20"/>
      </w:pPr>
      <w:r>
        <w:t>It is stronger if it persists across competent scalar weight variants rather than only B0.</w:t>
      </w:r>
    </w:p>
    <w:p>
      <w:pPr>
        <w:pStyle w:val="ListBullet"/>
        <w:spacing w:after="20"/>
      </w:pPr>
      <w:r>
        <w:t>It does not establish universal scalar impossibility.</w:t>
      </w:r>
    </w:p>
    <w:p>
      <w:pPr>
        <w:pStyle w:val="ListBullet"/>
        <w:spacing w:after="20"/>
      </w:pPr>
      <w:r>
        <w:t>If advantage disappears when B uses a different reasonable weight vector, report that sensitivity.</w:t>
      </w:r>
    </w:p>
    <w:p>
      <w:pPr>
        <w:pStyle w:val="ListBullet"/>
        <w:spacing w:after="20"/>
      </w:pPr>
      <w:r>
        <w:t>If PV-PP wins mainly because typed memory or adequacy matters, later ablations should identify that contribution.</w:t>
      </w:r>
    </w:p>
    <w:p>
      <w:pPr>
        <w:pStyle w:val="ListBullet"/>
        <w:spacing w:after="20"/>
      </w:pPr>
      <w:r>
        <w:t>If PV-PP consumes materially more computation, report the cost alongside outcomes.</w:t>
      </w:r>
    </w:p>
    <w:p>
      <w:pPr>
        <w:pStyle w:val="Heading1"/>
      </w:pPr>
      <w:r>
        <w:t>35. Interpreting Scalar Advantage</w:t>
      </w:r>
    </w:p>
    <w:p>
      <w:pPr>
        <w:pStyle w:val="ListBullet"/>
        <w:spacing w:after="20"/>
      </w:pPr>
      <w:r>
        <w:t>A scalar win is preserved as a substantive result, not treated as benchmark failure merely because PV-PP lost.</w:t>
      </w:r>
    </w:p>
    <w:p>
      <w:pPr>
        <w:pStyle w:val="ListBullet"/>
        <w:spacing w:after="20"/>
      </w:pPr>
      <w:r>
        <w:t>It may show that the benchmark's heterogeneous distinctions are effectively reducible under the tested conditions.</w:t>
      </w:r>
    </w:p>
    <w:p>
      <w:pPr>
        <w:pStyle w:val="ListBullet"/>
        <w:spacing w:after="20"/>
      </w:pPr>
      <w:r>
        <w:t>It may identify unnecessary PV-PP complexity or an implementation/formalization weakness.</w:t>
      </w:r>
    </w:p>
    <w:p>
      <w:pPr>
        <w:pStyle w:val="ListBullet"/>
        <w:spacing w:after="20"/>
      </w:pPr>
      <w:r>
        <w:t>Weight sensitivity must still be reported; a robust scalar win across the panel is stronger evidence than a single-vector win.</w:t>
      </w:r>
    </w:p>
    <w:p>
      <w:pPr>
        <w:pStyle w:val="ListBullet"/>
        <w:spacing w:after="20"/>
      </w:pPr>
      <w:r>
        <w:t>Do not modify PV-PP operators after seeing the result unless opening a new versioned research program.</w:t>
      </w:r>
    </w:p>
    <w:p>
      <w:pPr>
        <w:pStyle w:val="Heading1"/>
      </w:pPr>
      <w:r>
        <w:t>36. Interpreting Local-Controller Advantage</w:t>
      </w:r>
    </w:p>
    <w:p>
      <w:r>
        <w:t>A local-controller win would be especially important. It could indicate that longer projection/complex representation creates unnecessary adaptation, that the stress environment is too easy, or that sophisticated controllers overreact to uncertain signals. It must not be dismissed.</w:t>
      </w:r>
    </w:p>
    <w:p>
      <w:pPr>
        <w:pStyle w:val="Heading1"/>
      </w:pPr>
      <w:r>
        <w:t>37. No-Adequate-Policy Handling</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6"/>
              </w:rPr>
              <w:t>Regime</w:t>
            </w:r>
          </w:p>
        </w:tc>
        <w:tc>
          <w:tcPr>
            <w:tcW w:type="dxa" w:w="5040"/>
            <w:vAlign w:val="top"/>
            <w:shd w:fill="D9E2F3"/>
          </w:tcPr>
          <w:p>
            <w:r/>
            <w:r>
              <w:rPr>
                <w:rFonts w:ascii="Aptos" w:hAnsi="Aptos"/>
                <w:b/>
                <w:sz w:val="16"/>
              </w:rPr>
              <w:t>Required behavior</w:t>
            </w:r>
          </w:p>
        </w:tc>
      </w:tr>
      <w:tr>
        <w:tc>
          <w:tcPr>
            <w:tcW w:type="dxa" w:w="5040"/>
            <w:vAlign w:val="top"/>
          </w:tcPr>
          <w:p>
            <w:r/>
            <w:r>
              <w:rPr>
                <w:rFonts w:ascii="Aptos" w:hAnsi="Aptos"/>
                <w:b w:val="0"/>
                <w:sz w:val="15"/>
              </w:rPr>
              <w:t>PV-PP</w:t>
            </w:r>
          </w:p>
        </w:tc>
        <w:tc>
          <w:tcPr>
            <w:tcW w:type="dxa" w:w="5040"/>
            <w:vAlign w:val="top"/>
          </w:tcPr>
          <w:p>
            <w:r/>
            <w:r>
              <w:rPr>
                <w:rFonts w:ascii="Aptos" w:hAnsi="Aptos"/>
                <w:b w:val="0"/>
                <w:sz w:val="15"/>
              </w:rPr>
              <w:t>Canonical adequacy may determine that no candidate is fully adequate. Selection must follow the frozen canonical rule for such states; benchmark must not invent a rescue.</w:t>
            </w:r>
          </w:p>
        </w:tc>
      </w:tr>
      <w:tr>
        <w:tc>
          <w:tcPr>
            <w:tcW w:type="dxa" w:w="5040"/>
            <w:vAlign w:val="top"/>
          </w:tcPr>
          <w:p>
            <w:r/>
            <w:r>
              <w:rPr>
                <w:rFonts w:ascii="Aptos" w:hAnsi="Aptos"/>
                <w:b w:val="0"/>
                <w:sz w:val="15"/>
              </w:rPr>
              <w:t>Scalar</w:t>
            </w:r>
          </w:p>
        </w:tc>
        <w:tc>
          <w:tcPr>
            <w:tcW w:type="dxa" w:w="5040"/>
            <w:vAlign w:val="top"/>
          </w:tcPr>
          <w:p>
            <w:r/>
            <w:r>
              <w:rPr>
                <w:rFonts w:ascii="Aptos" w:hAnsi="Aptos"/>
                <w:b w:val="0"/>
                <w:sz w:val="15"/>
              </w:rPr>
              <w:t>May select the minimum expected scalar loss among feasible policies even when all lead to deterioration.</w:t>
            </w:r>
          </w:p>
        </w:tc>
      </w:tr>
      <w:tr>
        <w:tc>
          <w:tcPr>
            <w:tcW w:type="dxa" w:w="5040"/>
            <w:vAlign w:val="top"/>
          </w:tcPr>
          <w:p>
            <w:r/>
            <w:r>
              <w:rPr>
                <w:rFonts w:ascii="Aptos" w:hAnsi="Aptos"/>
                <w:b w:val="0"/>
                <w:sz w:val="15"/>
              </w:rPr>
              <w:t>Local</w:t>
            </w:r>
          </w:p>
        </w:tc>
        <w:tc>
          <w:tcPr>
            <w:tcW w:type="dxa" w:w="5040"/>
            <w:vAlign w:val="top"/>
          </w:tcPr>
          <w:p>
            <w:r/>
            <w:r>
              <w:rPr>
                <w:rFonts w:ascii="Aptos" w:hAnsi="Aptos"/>
                <w:b w:val="0"/>
                <w:sz w:val="15"/>
              </w:rPr>
              <w:t>Selects according to current priority rules among feasible actions.</w:t>
            </w:r>
          </w:p>
        </w:tc>
      </w:tr>
      <w:tr>
        <w:tc>
          <w:tcPr>
            <w:tcW w:type="dxa" w:w="5040"/>
            <w:vAlign w:val="top"/>
          </w:tcPr>
          <w:p>
            <w:r/>
            <w:r>
              <w:rPr>
                <w:rFonts w:ascii="Aptos" w:hAnsi="Aptos"/>
                <w:b w:val="0"/>
                <w:sz w:val="15"/>
              </w:rPr>
              <w:t>Evaluator</w:t>
            </w:r>
          </w:p>
        </w:tc>
        <w:tc>
          <w:tcPr>
            <w:tcW w:type="dxa" w:w="5040"/>
            <w:vAlign w:val="top"/>
          </w:tcPr>
          <w:p>
            <w:r/>
            <w:r>
              <w:rPr>
                <w:rFonts w:ascii="Aptos" w:hAnsi="Aptos"/>
                <w:b w:val="0"/>
                <w:sz w:val="15"/>
              </w:rPr>
              <w:t>Separately determines whether the world actually lacked a sustainable recovery corridor. This diagnosis is post hoc.</w:t>
            </w:r>
          </w:p>
        </w:tc>
      </w:tr>
    </w:tbl>
    <w:p>
      <w:pPr>
        <w:spacing w:after="20"/>
      </w:pPr>
    </w:p>
    <w:p>
      <w:pPr>
        <w:pStyle w:val="Heading1"/>
      </w:pPr>
      <w:r>
        <w:t>38. Architecture-Failure Boundary</w:t>
      </w:r>
    </w:p>
    <w:p>
      <w:r>
        <w:t>Poor performance is not automatically architecture failure. A controller may make a bad decision under bounded evidence. Architecture failure requires a cleaner defect such as inability to represent a materially required in-scope distinction, contradictory/undefined operator behavior, systematic violation of its own invariants under correct inputs, or genuine dependence on a new primitive.</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6"/>
              </w:rPr>
              <w:t>Observed issue</w:t>
            </w:r>
          </w:p>
        </w:tc>
        <w:tc>
          <w:tcPr>
            <w:tcW w:type="dxa" w:w="5040"/>
            <w:vAlign w:val="top"/>
            <w:shd w:fill="D9E2F3"/>
          </w:tcPr>
          <w:p>
            <w:r/>
            <w:r>
              <w:rPr>
                <w:rFonts w:ascii="Aptos" w:hAnsi="Aptos"/>
                <w:b/>
                <w:sz w:val="16"/>
              </w:rPr>
              <w:t>Default classification</w:t>
            </w:r>
          </w:p>
        </w:tc>
      </w:tr>
      <w:tr>
        <w:tc>
          <w:tcPr>
            <w:tcW w:type="dxa" w:w="5040"/>
            <w:vAlign w:val="top"/>
          </w:tcPr>
          <w:p>
            <w:r/>
            <w:r>
              <w:rPr>
                <w:rFonts w:ascii="Aptos" w:hAnsi="Aptos"/>
                <w:b w:val="0"/>
                <w:sz w:val="15"/>
              </w:rPr>
              <w:t>PV-PP loses after reasonable bounded inference</w:t>
            </w:r>
          </w:p>
        </w:tc>
        <w:tc>
          <w:tcPr>
            <w:tcW w:type="dxa" w:w="5040"/>
            <w:vAlign w:val="top"/>
          </w:tcPr>
          <w:p>
            <w:r/>
            <w:r>
              <w:rPr>
                <w:rFonts w:ascii="Aptos" w:hAnsi="Aptos"/>
                <w:b w:val="0"/>
                <w:sz w:val="15"/>
              </w:rPr>
              <w:t>Controller/policy outcome.</w:t>
            </w:r>
          </w:p>
        </w:tc>
      </w:tr>
      <w:tr>
        <w:tc>
          <w:tcPr>
            <w:tcW w:type="dxa" w:w="5040"/>
            <w:vAlign w:val="top"/>
          </w:tcPr>
          <w:p>
            <w:r/>
            <w:r>
              <w:rPr>
                <w:rFonts w:ascii="Aptos" w:hAnsi="Aptos"/>
                <w:b w:val="0"/>
                <w:sz w:val="15"/>
              </w:rPr>
              <w:t>PV-PP candidate search misses a known family despite valid substrate</w:t>
            </w:r>
          </w:p>
        </w:tc>
        <w:tc>
          <w:tcPr>
            <w:tcW w:type="dxa" w:w="5040"/>
            <w:vAlign w:val="top"/>
          </w:tcPr>
          <w:p>
            <w:r/>
            <w:r>
              <w:rPr>
                <w:rFonts w:ascii="Aptos" w:hAnsi="Aptos"/>
                <w:b w:val="0"/>
                <w:sz w:val="15"/>
              </w:rPr>
              <w:t>Search/completeness failure; architecture only if required by frozen rules and unrecoverable by correct implementation.</w:t>
            </w:r>
          </w:p>
        </w:tc>
      </w:tr>
      <w:tr>
        <w:tc>
          <w:tcPr>
            <w:tcW w:type="dxa" w:w="5040"/>
            <w:vAlign w:val="top"/>
          </w:tcPr>
          <w:p>
            <w:r/>
            <w:r>
              <w:rPr>
                <w:rFonts w:ascii="Aptos" w:hAnsi="Aptos"/>
                <w:b w:val="0"/>
                <w:sz w:val="15"/>
              </w:rPr>
              <w:t>Sigma tie rule absent</w:t>
            </w:r>
          </w:p>
        </w:tc>
        <w:tc>
          <w:tcPr>
            <w:tcW w:type="dxa" w:w="5040"/>
            <w:vAlign w:val="top"/>
          </w:tcPr>
          <w:p>
            <w:r/>
            <w:r>
              <w:rPr>
                <w:rFonts w:ascii="Aptos" w:hAnsi="Aptos"/>
                <w:b w:val="0"/>
                <w:sz w:val="15"/>
              </w:rPr>
              <w:t>Formalization gap.</w:t>
            </w:r>
          </w:p>
        </w:tc>
      </w:tr>
      <w:tr>
        <w:tc>
          <w:tcPr>
            <w:tcW w:type="dxa" w:w="5040"/>
            <w:vAlign w:val="top"/>
          </w:tcPr>
          <w:p>
            <w:r/>
            <w:r>
              <w:rPr>
                <w:rFonts w:ascii="Aptos" w:hAnsi="Aptos"/>
                <w:b w:val="0"/>
                <w:sz w:val="15"/>
              </w:rPr>
              <w:t>Scalar B performs badly under one weight vector but well under another</w:t>
            </w:r>
          </w:p>
        </w:tc>
        <w:tc>
          <w:tcPr>
            <w:tcW w:type="dxa" w:w="5040"/>
            <w:vAlign w:val="top"/>
          </w:tcPr>
          <w:p>
            <w:r/>
            <w:r>
              <w:rPr>
                <w:rFonts w:ascii="Aptos" w:hAnsi="Aptos"/>
                <w:b w:val="0"/>
                <w:sz w:val="15"/>
              </w:rPr>
              <w:t>Scalar sensitivity, not architecture failure.</w:t>
            </w:r>
          </w:p>
        </w:tc>
      </w:tr>
      <w:tr>
        <w:tc>
          <w:tcPr>
            <w:tcW w:type="dxa" w:w="5040"/>
            <w:vAlign w:val="top"/>
          </w:tcPr>
          <w:p>
            <w:r/>
            <w:r>
              <w:rPr>
                <w:rFonts w:ascii="Aptos" w:hAnsi="Aptos"/>
                <w:b w:val="0"/>
                <w:sz w:val="15"/>
              </w:rPr>
              <w:t>C ignores delayed collapse because outside local horizon</w:t>
            </w:r>
          </w:p>
        </w:tc>
        <w:tc>
          <w:tcPr>
            <w:tcW w:type="dxa" w:w="5040"/>
            <w:vAlign w:val="top"/>
          </w:tcPr>
          <w:p>
            <w:r/>
            <w:r>
              <w:rPr>
                <w:rFonts w:ascii="Aptos" w:hAnsi="Aptos"/>
                <w:b w:val="0"/>
                <w:sz w:val="15"/>
              </w:rPr>
              <w:t>Expected comparator limitation.</w:t>
            </w:r>
          </w:p>
        </w:tc>
      </w:tr>
      <w:tr>
        <w:tc>
          <w:tcPr>
            <w:tcW w:type="dxa" w:w="5040"/>
            <w:vAlign w:val="top"/>
          </w:tcPr>
          <w:p>
            <w:r/>
            <w:r>
              <w:rPr>
                <w:rFonts w:ascii="Aptos" w:hAnsi="Aptos"/>
                <w:b w:val="0"/>
                <w:sz w:val="15"/>
              </w:rPr>
              <w:t>All regimes fail and oracle has no corridor</w:t>
            </w:r>
          </w:p>
        </w:tc>
        <w:tc>
          <w:tcPr>
            <w:tcW w:type="dxa" w:w="5040"/>
            <w:vAlign w:val="top"/>
          </w:tcPr>
          <w:p>
            <w:r/>
            <w:r>
              <w:rPr>
                <w:rFonts w:ascii="Aptos" w:hAnsi="Aptos"/>
                <w:b w:val="0"/>
                <w:sz w:val="15"/>
              </w:rPr>
              <w:t>World infeasibility.</w:t>
            </w:r>
          </w:p>
        </w:tc>
      </w:tr>
      <w:tr>
        <w:tc>
          <w:tcPr>
            <w:tcW w:type="dxa" w:w="5040"/>
            <w:vAlign w:val="top"/>
          </w:tcPr>
          <w:p>
            <w:r/>
            <w:r>
              <w:rPr>
                <w:rFonts w:ascii="Aptos" w:hAnsi="Aptos"/>
                <w:b w:val="0"/>
                <w:sz w:val="15"/>
              </w:rPr>
              <w:t>PV-PP requires oracle actual PP to decide coherently</w:t>
            </w:r>
          </w:p>
        </w:tc>
        <w:tc>
          <w:tcPr>
            <w:tcW w:type="dxa" w:w="5040"/>
            <w:vAlign w:val="top"/>
          </w:tcPr>
          <w:p>
            <w:r/>
            <w:r>
              <w:rPr>
                <w:rFonts w:ascii="Aptos" w:hAnsi="Aptos"/>
                <w:b w:val="0"/>
                <w:sz w:val="15"/>
              </w:rPr>
              <w:t>Potential architecture/formalization failure.</w:t>
            </w:r>
          </w:p>
        </w:tc>
      </w:tr>
      <w:tr>
        <w:tc>
          <w:tcPr>
            <w:tcW w:type="dxa" w:w="5040"/>
            <w:vAlign w:val="top"/>
          </w:tcPr>
          <w:p>
            <w:r/>
            <w:r>
              <w:rPr>
                <w:rFonts w:ascii="Aptos" w:hAnsi="Aptos"/>
                <w:b w:val="0"/>
                <w:sz w:val="15"/>
              </w:rPr>
              <w:t>Comparator lacks action/history available to PV-PP</w:t>
            </w:r>
          </w:p>
        </w:tc>
        <w:tc>
          <w:tcPr>
            <w:tcW w:type="dxa" w:w="5040"/>
            <w:vAlign w:val="top"/>
          </w:tcPr>
          <w:p>
            <w:r/>
            <w:r>
              <w:rPr>
                <w:rFonts w:ascii="Aptos" w:hAnsi="Aptos"/>
                <w:b w:val="0"/>
                <w:sz w:val="15"/>
              </w:rPr>
              <w:t>Benchmark favoritism/design failure.</w:t>
            </w:r>
          </w:p>
        </w:tc>
      </w:tr>
    </w:tbl>
    <w:p>
      <w:pPr>
        <w:spacing w:after="20"/>
      </w:pPr>
    </w:p>
    <w:p>
      <w:pPr>
        <w:pStyle w:val="Heading1"/>
      </w:pPr>
      <w:r>
        <w:t>39. Diagnostic Oracle</w:t>
      </w:r>
    </w:p>
    <w:p>
      <w:r>
        <w:t>The optional oracle controller/solver receives actual W(t), full physical/institutional reachability, and known future event realization only in separately labeled diagnostic variants. Two oracle levels should be distinguished: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2F3"/>
          </w:tcPr>
          <w:p>
            <w:r/>
            <w:r>
              <w:rPr>
                <w:rFonts w:ascii="Aptos" w:hAnsi="Aptos"/>
                <w:b/>
                <w:sz w:val="16"/>
              </w:rPr>
              <w:t>Oracle</w:t>
            </w:r>
          </w:p>
        </w:tc>
        <w:tc>
          <w:tcPr>
            <w:tcW w:type="dxa" w:w="3360"/>
            <w:vAlign w:val="top"/>
            <w:shd w:fill="D9E2F3"/>
          </w:tcPr>
          <w:p>
            <w:r/>
            <w:r>
              <w:rPr>
                <w:rFonts w:ascii="Aptos" w:hAnsi="Aptos"/>
                <w:b/>
                <w:sz w:val="16"/>
              </w:rPr>
              <w:t>Access</w:t>
            </w:r>
          </w:p>
        </w:tc>
        <w:tc>
          <w:tcPr>
            <w:tcW w:type="dxa" w:w="3360"/>
            <w:vAlign w:val="top"/>
            <w:shd w:fill="D9E2F3"/>
          </w:tcPr>
          <w:p>
            <w:r/>
            <w:r>
              <w:rPr>
                <w:rFonts w:ascii="Aptos" w:hAnsi="Aptos"/>
                <w:b/>
                <w:sz w:val="16"/>
              </w:rPr>
              <w:t>Use</w:t>
            </w:r>
          </w:p>
        </w:tc>
      </w:tr>
      <w:tr>
        <w:tc>
          <w:tcPr>
            <w:tcW w:type="dxa" w:w="3360"/>
            <w:vAlign w:val="top"/>
          </w:tcPr>
          <w:p>
            <w:r/>
            <w:r>
              <w:rPr>
                <w:rFonts w:ascii="Aptos" w:hAnsi="Aptos"/>
                <w:b w:val="0"/>
                <w:sz w:val="15"/>
              </w:rPr>
              <w:t>O1 State oracle</w:t>
            </w:r>
          </w:p>
        </w:tc>
        <w:tc>
          <w:tcPr>
            <w:tcW w:type="dxa" w:w="3360"/>
            <w:vAlign w:val="top"/>
          </w:tcPr>
          <w:p>
            <w:r/>
            <w:r>
              <w:rPr>
                <w:rFonts w:ascii="Aptos" w:hAnsi="Aptos"/>
                <w:b w:val="0"/>
                <w:sz w:val="15"/>
              </w:rPr>
              <w:t>Current actual state and clean-world reachability, but not future random draws</w:t>
            </w:r>
          </w:p>
        </w:tc>
        <w:tc>
          <w:tcPr>
            <w:tcW w:type="dxa" w:w="3360"/>
            <w:vAlign w:val="top"/>
          </w:tcPr>
          <w:p>
            <w:r/>
            <w:r>
              <w:rPr>
                <w:rFonts w:ascii="Aptos" w:hAnsi="Aptos"/>
                <w:b w:val="0"/>
                <w:sz w:val="15"/>
              </w:rPr>
              <w:t>Estimate whether bounded-information loss explains controller failure.</w:t>
            </w:r>
          </w:p>
        </w:tc>
      </w:tr>
      <w:tr>
        <w:tc>
          <w:tcPr>
            <w:tcW w:type="dxa" w:w="3360"/>
            <w:vAlign w:val="top"/>
          </w:tcPr>
          <w:p>
            <w:r/>
            <w:r>
              <w:rPr>
                <w:rFonts w:ascii="Aptos" w:hAnsi="Aptos"/>
                <w:b w:val="0"/>
                <w:sz w:val="15"/>
              </w:rPr>
              <w:t>O2 Clairvoyant trace oracle</w:t>
            </w:r>
          </w:p>
        </w:tc>
        <w:tc>
          <w:tcPr>
            <w:tcW w:type="dxa" w:w="3360"/>
            <w:vAlign w:val="top"/>
          </w:tcPr>
          <w:p>
            <w:r/>
            <w:r>
              <w:rPr>
                <w:rFonts w:ascii="Aptos" w:hAnsi="Aptos"/>
                <w:b w:val="0"/>
                <w:sz w:val="15"/>
              </w:rPr>
              <w:t>Current actual state plus frozen future deterministic/stochastic realization</w:t>
            </w:r>
          </w:p>
        </w:tc>
        <w:tc>
          <w:tcPr>
            <w:tcW w:type="dxa" w:w="3360"/>
            <w:vAlign w:val="top"/>
          </w:tcPr>
          <w:p>
            <w:r/>
            <w:r>
              <w:rPr>
                <w:rFonts w:ascii="Aptos" w:hAnsi="Aptos"/>
                <w:b w:val="0"/>
                <w:sz w:val="15"/>
              </w:rPr>
              <w:t>Upper bound for a particular realized trace; never a fair policy comparator.</w:t>
            </w:r>
          </w:p>
        </w:tc>
      </w:tr>
    </w:tbl>
    <w:p>
      <w:pPr>
        <w:spacing w:after="20"/>
      </w:pPr>
    </w:p>
    <w:p>
      <w:r>
        <w:t>Oracle results may establish that a recovery path physically existed. They cannot establish that a bounded controller 'should have known' a path absent legitimate evidence.</w:t>
      </w:r>
    </w:p>
    <w:p>
      <w:pPr>
        <w:pStyle w:val="Heading1"/>
      </w:pPr>
      <w:r>
        <w:t>40. Ablation Compatibility</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2F3"/>
          </w:tcPr>
          <w:p>
            <w:r/>
            <w:r>
              <w:rPr>
                <w:rFonts w:ascii="Aptos" w:hAnsi="Aptos"/>
                <w:b/>
                <w:sz w:val="16"/>
              </w:rPr>
              <w:t>Ablation</w:t>
            </w:r>
          </w:p>
        </w:tc>
        <w:tc>
          <w:tcPr>
            <w:tcW w:type="dxa" w:w="5040"/>
            <w:vAlign w:val="top"/>
            <w:shd w:fill="D9E2F3"/>
          </w:tcPr>
          <w:p>
            <w:r/>
            <w:r>
              <w:rPr>
                <w:rFonts w:ascii="Aptos" w:hAnsi="Aptos"/>
                <w:b/>
                <w:sz w:val="16"/>
              </w:rPr>
              <w:t>Controller impact</w:t>
            </w:r>
          </w:p>
        </w:tc>
      </w:tr>
      <w:tr>
        <w:tc>
          <w:tcPr>
            <w:tcW w:type="dxa" w:w="5040"/>
            <w:vAlign w:val="top"/>
          </w:tcPr>
          <w:p>
            <w:r/>
            <w:r>
              <w:rPr>
                <w:rFonts w:ascii="Aptos" w:hAnsi="Aptos"/>
                <w:b w:val="0"/>
                <w:sz w:val="15"/>
              </w:rPr>
              <w:t>Untyped relational memory</w:t>
            </w:r>
          </w:p>
        </w:tc>
        <w:tc>
          <w:tcPr>
            <w:tcW w:type="dxa" w:w="5040"/>
            <w:vAlign w:val="top"/>
          </w:tcPr>
          <w:p>
            <w:r/>
            <w:r>
              <w:rPr>
                <w:rFonts w:ascii="Aptos" w:hAnsi="Aptos"/>
                <w:b w:val="0"/>
                <w:sz w:val="15"/>
              </w:rPr>
              <w:t>Modify PV-PP memory representation only; raw history unchanged.</w:t>
            </w:r>
          </w:p>
        </w:tc>
      </w:tr>
      <w:tr>
        <w:tc>
          <w:tcPr>
            <w:tcW w:type="dxa" w:w="5040"/>
            <w:vAlign w:val="top"/>
          </w:tcPr>
          <w:p>
            <w:r/>
            <w:r>
              <w:rPr>
                <w:rFonts w:ascii="Aptos" w:hAnsi="Aptos"/>
                <w:b w:val="0"/>
                <w:sz w:val="15"/>
              </w:rPr>
              <w:t>Remove restoration adequacy</w:t>
            </w:r>
          </w:p>
        </w:tc>
        <w:tc>
          <w:tcPr>
            <w:tcW w:type="dxa" w:w="5040"/>
            <w:vAlign w:val="top"/>
          </w:tcPr>
          <w:p>
            <w:r/>
            <w:r>
              <w:rPr>
                <w:rFonts w:ascii="Aptos" w:hAnsi="Aptos"/>
                <w:b w:val="0"/>
                <w:sz w:val="15"/>
              </w:rPr>
              <w:t>PV-PP candidates pass from framing/constraints to frozen fallback selection without the adequacy gate.</w:t>
            </w:r>
          </w:p>
        </w:tc>
      </w:tr>
      <w:tr>
        <w:tc>
          <w:tcPr>
            <w:tcW w:type="dxa" w:w="5040"/>
            <w:vAlign w:val="top"/>
          </w:tcPr>
          <w:p>
            <w:r/>
            <w:r>
              <w:rPr>
                <w:rFonts w:ascii="Aptos" w:hAnsi="Aptos"/>
                <w:b w:val="0"/>
                <w:sz w:val="15"/>
              </w:rPr>
              <w:t>Scalarize governing pressure/domain behavior</w:t>
            </w:r>
          </w:p>
        </w:tc>
        <w:tc>
          <w:tcPr>
            <w:tcW w:type="dxa" w:w="5040"/>
            <w:vAlign w:val="top"/>
          </w:tcPr>
          <w:p>
            <w:r/>
            <w:r>
              <w:rPr>
                <w:rFonts w:ascii="Aptos" w:hAnsi="Aptos"/>
                <w:b w:val="0"/>
                <w:sz w:val="15"/>
              </w:rPr>
              <w:t>PV-PP governing structure replaced by pre-frozen weighted pressure aggregate; world/info unchanged.</w:t>
            </w:r>
          </w:p>
        </w:tc>
      </w:tr>
      <w:tr>
        <w:tc>
          <w:tcPr>
            <w:tcW w:type="dxa" w:w="5040"/>
            <w:vAlign w:val="top"/>
          </w:tcPr>
          <w:p>
            <w:r/>
            <w:r>
              <w:rPr>
                <w:rFonts w:ascii="Aptos" w:hAnsi="Aptos"/>
                <w:b w:val="0"/>
                <w:sz w:val="15"/>
              </w:rPr>
              <w:t>Reduced projection depth</w:t>
            </w:r>
          </w:p>
        </w:tc>
        <w:tc>
          <w:tcPr>
            <w:tcW w:type="dxa" w:w="5040"/>
            <w:vAlign w:val="top"/>
          </w:tcPr>
          <w:p>
            <w:r/>
            <w:r>
              <w:rPr>
                <w:rFonts w:ascii="Aptos" w:hAnsi="Aptos"/>
                <w:b w:val="0"/>
                <w:sz w:val="15"/>
              </w:rPr>
              <w:t>PV-PP horizon reduced to one future transition.</w:t>
            </w:r>
          </w:p>
        </w:tc>
      </w:tr>
      <w:tr>
        <w:tc>
          <w:tcPr>
            <w:tcW w:type="dxa" w:w="5040"/>
            <w:vAlign w:val="top"/>
          </w:tcPr>
          <w:p>
            <w:r/>
            <w:r>
              <w:rPr>
                <w:rFonts w:ascii="Aptos" w:hAnsi="Aptos"/>
                <w:b w:val="0"/>
                <w:sz w:val="15"/>
              </w:rPr>
              <w:t>Remove commitment/encumbrance persistence</w:t>
            </w:r>
          </w:p>
        </w:tc>
        <w:tc>
          <w:tcPr>
            <w:tcW w:type="dxa" w:w="5040"/>
            <w:vAlign w:val="top"/>
          </w:tcPr>
          <w:p>
            <w:r/>
            <w:r>
              <w:rPr>
                <w:rFonts w:ascii="Aptos" w:hAnsi="Aptos"/>
                <w:b w:val="0"/>
                <w:sz w:val="15"/>
              </w:rPr>
              <w:t>World alteration applied to all relevant runs; not merely hidden from one controller.</w:t>
            </w:r>
          </w:p>
        </w:tc>
      </w:tr>
      <w:tr>
        <w:tc>
          <w:tcPr>
            <w:tcW w:type="dxa" w:w="5040"/>
            <w:vAlign w:val="top"/>
          </w:tcPr>
          <w:p>
            <w:r/>
            <w:r>
              <w:rPr>
                <w:rFonts w:ascii="Aptos" w:hAnsi="Aptos"/>
                <w:b w:val="0"/>
                <w:sz w:val="15"/>
              </w:rPr>
              <w:t>Perfect information</w:t>
            </w:r>
          </w:p>
        </w:tc>
        <w:tc>
          <w:tcPr>
            <w:tcW w:type="dxa" w:w="5040"/>
            <w:vAlign w:val="top"/>
          </w:tcPr>
          <w:p>
            <w:r/>
            <w:r>
              <w:rPr>
                <w:rFonts w:ascii="Aptos" w:hAnsi="Aptos"/>
                <w:b w:val="0"/>
                <w:sz w:val="15"/>
              </w:rPr>
              <w:t>Diagnostic only; not primary ablation because it changes information privilege.</w:t>
            </w:r>
          </w:p>
        </w:tc>
      </w:tr>
    </w:tbl>
    <w:p>
      <w:pPr>
        <w:spacing w:after="20"/>
      </w:pPr>
    </w:p>
    <w:p>
      <w:pPr>
        <w:pStyle w:val="Heading1"/>
      </w:pPr>
      <w:r>
        <w:t>41. Required Implementation Logs</w:t>
      </w:r>
    </w:p>
    <w:p>
      <w:pPr>
        <w:pStyle w:val="ListBullet"/>
        <w:spacing w:after="20"/>
      </w:pPr>
      <w:r>
        <w:t>Controller/version/configuration hash.</w:t>
      </w:r>
    </w:p>
    <w:p>
      <w:pPr>
        <w:pStyle w:val="ListBullet"/>
        <w:spacing w:after="20"/>
      </w:pPr>
      <w:r>
        <w:t>Canonical PRE packet event IDs.</w:t>
      </w:r>
    </w:p>
    <w:p>
      <w:pPr>
        <w:pStyle w:val="ListBullet"/>
        <w:spacing w:after="20"/>
      </w:pPr>
      <w:r>
        <w:t>Controller persistent-state hash before and after decision.</w:t>
      </w:r>
    </w:p>
    <w:p>
      <w:pPr>
        <w:pStyle w:val="ListBullet"/>
        <w:spacing w:after="20"/>
      </w:pPr>
      <w:r>
        <w:t>Candidate/action count and search path summary.</w:t>
      </w:r>
    </w:p>
    <w:p>
      <w:pPr>
        <w:pStyle w:val="ListBullet"/>
        <w:spacing w:after="20"/>
      </w:pPr>
      <w:r>
        <w:t>World-model evaluation count.</w:t>
      </w:r>
    </w:p>
    <w:p>
      <w:pPr>
        <w:pStyle w:val="ListBullet"/>
        <w:spacing w:after="20"/>
      </w:pPr>
      <w:r>
        <w:t>Wall-clock decision time.</w:t>
      </w:r>
    </w:p>
    <w:p>
      <w:pPr>
        <w:pStyle w:val="ListBullet"/>
        <w:spacing w:after="20"/>
      </w:pPr>
      <w:r>
        <w:t>Timeout/budget-exhaustion flag.</w:t>
      </w:r>
    </w:p>
    <w:p>
      <w:pPr>
        <w:pStyle w:val="ListBullet"/>
        <w:spacing w:after="20"/>
      </w:pPr>
      <w:r>
        <w:t>Selected proposal/action and deterministic tie-break path.</w:t>
      </w:r>
    </w:p>
    <w:p>
      <w:pPr>
        <w:pStyle w:val="ListBullet"/>
        <w:spacing w:after="20"/>
      </w:pPr>
      <w:r>
        <w:t>For B: normalized loss components, weights, expected loss, risk term.</w:t>
      </w:r>
    </w:p>
    <w:p>
      <w:pPr>
        <w:pStyle w:val="ListBullet"/>
        <w:spacing w:after="20"/>
      </w:pPr>
      <w:r>
        <w:t>For C: first priority level that distinguished the selected action.</w:t>
      </w:r>
    </w:p>
    <w:p>
      <w:pPr>
        <w:pStyle w:val="ListBullet"/>
        <w:spacing w:after="20"/>
      </w:pPr>
      <w:r>
        <w:t>For A: operator-stage conformance trace and candidate-status transitions, without requiring hidden chain-of-thought.</w:t>
      </w:r>
    </w:p>
    <w:p>
      <w:pPr>
        <w:pStyle w:val="ListBullet"/>
        <w:spacing w:after="20"/>
      </w:pPr>
      <w:r>
        <w:t>Counterparty proposal/acceptance records.</w:t>
      </w:r>
    </w:p>
    <w:p>
      <w:pPr>
        <w:pStyle w:val="ListBullet"/>
        <w:spacing w:after="20"/>
      </w:pPr>
      <w:r>
        <w:t>Execution result linked to action ID.</w:t>
      </w:r>
    </w:p>
    <w:p>
      <w:pPr>
        <w:pStyle w:val="Heading1"/>
      </w:pPr>
      <w:r>
        <w:t>42. Pre-Freeze Hostile Questions</w:t>
      </w:r>
    </w:p>
    <w:p>
      <w:pPr>
        <w:pStyle w:val="ListBullet"/>
        <w:spacing w:after="20"/>
      </w:pPr>
      <w:r>
        <w:t>Is B strong enough that an operations-research reviewer would recognize it as competent?</w:t>
      </w:r>
    </w:p>
    <w:p>
      <w:pPr>
        <w:pStyle w:val="ListBullet"/>
        <w:spacing w:after="20"/>
      </w:pPr>
      <w:r>
        <w:t>Does B get the same planning horizon and uncertainty model as A?</w:t>
      </w:r>
    </w:p>
    <w:p>
      <w:pPr>
        <w:pStyle w:val="ListBullet"/>
        <w:spacing w:after="20"/>
      </w:pPr>
      <w:r>
        <w:t>Does C have enough information/history to be plausible rather than intentionally naive?</w:t>
      </w:r>
    </w:p>
    <w:p>
      <w:pPr>
        <w:pStyle w:val="ListBullet"/>
        <w:spacing w:after="20"/>
      </w:pPr>
      <w:r>
        <w:t>Does PV-PP receive a hand-curated candidate set that B must rediscover expensively?</w:t>
      </w:r>
    </w:p>
    <w:p>
      <w:pPr>
        <w:pStyle w:val="ListBullet"/>
        <w:spacing w:after="20"/>
      </w:pPr>
      <w:r>
        <w:t>Are B's weights secretly chosen to create the exact tradeoff PV-PP is designed to solve?</w:t>
      </w:r>
    </w:p>
    <w:p>
      <w:pPr>
        <w:pStyle w:val="ListBullet"/>
        <w:spacing w:after="20"/>
      </w:pPr>
      <w:r>
        <w:t>Can B1-B4 plausibly beat PV-PP in some parameter regions?</w:t>
      </w:r>
    </w:p>
    <w:p>
      <w:pPr>
        <w:pStyle w:val="ListBullet"/>
        <w:spacing w:after="20"/>
      </w:pPr>
      <w:r>
        <w:t>Can C beat both in stable or misleading-signal cases?</w:t>
      </w:r>
    </w:p>
    <w:p>
      <w:pPr>
        <w:pStyle w:val="ListBullet"/>
        <w:spacing w:after="20"/>
      </w:pPr>
      <w:r>
        <w:t>Are PV-PP retrieval and graph operations consuming far more computation than B?</w:t>
      </w:r>
    </w:p>
    <w:p>
      <w:pPr>
        <w:pStyle w:val="ListBullet"/>
        <w:spacing w:after="20"/>
      </w:pPr>
      <w:r>
        <w:t>Does homogeneous-regime coordination give PV-PP an implicit shared language unavailable to B/C?</w:t>
      </w:r>
    </w:p>
    <w:p>
      <w:pPr>
        <w:pStyle w:val="ListBullet"/>
        <w:spacing w:after="20"/>
      </w:pPr>
      <w:r>
        <w:t>Are role-specific PV-PP controllers allowed to coordinate through anything other than world-visible messages/commitments?</w:t>
      </w:r>
    </w:p>
    <w:p>
      <w:pPr>
        <w:pStyle w:val="ListBullet"/>
        <w:spacing w:after="20"/>
      </w:pPr>
      <w:r>
        <w:t>Can an agent's private controller state leak to another same-regime agent? It must not.</w:t>
      </w:r>
    </w:p>
    <w:p>
      <w:pPr>
        <w:pStyle w:val="ListBullet"/>
        <w:spacing w:after="20"/>
      </w:pPr>
      <w:r>
        <w:t>Would the benchmark remain meaningful if the labels A/B/C were hidden from the analyst?</w:t>
      </w:r>
    </w:p>
    <w:p>
      <w:pPr>
        <w:pStyle w:val="Heading1"/>
      </w:pPr>
      <w:r>
        <w:t>43. Homogeneous-Regime Coordination Firewall</w:t>
      </w:r>
    </w:p>
    <w:p>
      <w:r>
        <w:t>Using the same controller family in multiple roles must not create telepathy. Each agent has a separate controller instance and private persistent state. Agents communicate only through v0.3/v0.4 world channels. Shared source code, common architecture, or common model parameters do not authorize sharing private observations, memory, PPP, candidate sets, or intended actions.</w:t>
      </w:r>
    </w:p>
    <w:p>
      <w:pPr>
        <w:pStyle w:val="Heading1"/>
      </w:pPr>
      <w:r>
        <w:t>44. Versioning and Corrections</w:t>
      </w:r>
    </w:p>
    <w:p>
      <w:pPr>
        <w:spacing w:after="20"/>
        <w:ind w:left="317" w:hanging="259"/>
      </w:pPr>
      <w:r>
        <w:rPr>
          <w:b/>
        </w:rPr>
        <w:t xml:space="preserve">1. </w:t>
      </w:r>
      <w:r>
        <w:t>Freeze controller specification, configurations, weights, horizons, budgets, action discretization, and tie rules before primary runs.</w:t>
      </w:r>
    </w:p>
    <w:p>
      <w:pPr>
        <w:spacing w:after="20"/>
        <w:ind w:left="317" w:hanging="259"/>
      </w:pPr>
      <w:r>
        <w:rPr>
          <w:b/>
        </w:rPr>
        <w:t xml:space="preserve">2. </w:t>
      </w:r>
      <w:r>
        <w:t>Hash executable code and configuration files.</w:t>
      </w:r>
    </w:p>
    <w:p>
      <w:pPr>
        <w:spacing w:after="20"/>
        <w:ind w:left="317" w:hanging="259"/>
      </w:pPr>
      <w:r>
        <w:rPr>
          <w:b/>
        </w:rPr>
        <w:t xml:space="preserve">3. </w:t>
      </w:r>
      <w:r>
        <w:t>Any discovered implementation defect is corrected in a new patch version.</w:t>
      </w:r>
    </w:p>
    <w:p>
      <w:pPr>
        <w:spacing w:after="20"/>
        <w:ind w:left="317" w:hanging="259"/>
      </w:pPr>
      <w:r>
        <w:rPr>
          <w:b/>
        </w:rPr>
        <w:t xml:space="preserve">4. </w:t>
      </w:r>
      <w:r>
        <w:t>Rerun all affected regimes/seeds, not only the disadvantaged controller.</w:t>
      </w:r>
    </w:p>
    <w:p>
      <w:pPr>
        <w:spacing w:after="20"/>
        <w:ind w:left="317" w:hanging="259"/>
      </w:pPr>
      <w:r>
        <w:rPr>
          <w:b/>
        </w:rPr>
        <w:t xml:space="preserve">5. </w:t>
      </w:r>
      <w:r>
        <w:t>Preserve invalidated runs in the ledger with reason.</w:t>
      </w:r>
    </w:p>
    <w:p>
      <w:pPr>
        <w:spacing w:after="20"/>
        <w:ind w:left="317" w:hanging="259"/>
      </w:pPr>
      <w:r>
        <w:rPr>
          <w:b/>
        </w:rPr>
        <w:t xml:space="preserve">6. </w:t>
      </w:r>
      <w:r>
        <w:t>Do not silently change comparator competence or PV-PP formalization after results.</w:t>
      </w:r>
    </w:p>
    <w:p>
      <w:pPr>
        <w:pStyle w:val="Heading1"/>
      </w:pPr>
      <w:r>
        <w:t>45. Unresolved Items Before v0.5 Freeze</w:t>
      </w:r>
    </w:p>
    <w:p>
      <w:pPr>
        <w:pStyle w:val="ListBullet"/>
        <w:spacing w:after="20"/>
      </w:pPr>
      <w:r>
        <w:t>Confirm the exact canonical Sigma tie/no-adequate-policy rule from the authority set; do not invent one in implementation.</w:t>
      </w:r>
    </w:p>
    <w:p>
      <w:pPr>
        <w:pStyle w:val="ListBullet"/>
        <w:spacing w:after="20"/>
      </w:pPr>
      <w:r>
        <w:t>Finalize B role-specific normalization and weight vectors, not just M's proposed panel.</w:t>
      </w:r>
    </w:p>
    <w:p>
      <w:pPr>
        <w:pStyle w:val="ListBullet"/>
        <w:spacing w:after="20"/>
      </w:pPr>
      <w:r>
        <w:t>Choose the exact scalar state estimator and uncertainty propagation method.</w:t>
      </w:r>
    </w:p>
    <w:p>
      <w:pPr>
        <w:pStyle w:val="ListBullet"/>
        <w:spacing w:after="20"/>
      </w:pPr>
      <w:r>
        <w:t>Choose the exact PV-PP projection/search implementation consistent with canonical authority.</w:t>
      </w:r>
    </w:p>
    <w:p>
      <w:pPr>
        <w:pStyle w:val="ListBullet"/>
        <w:spacing w:after="20"/>
      </w:pPr>
      <w:r>
        <w:t>Dry-run whether 10,000 world evaluations / 2 seconds / 256 rollouts are feasible and fair on the reference machine.</w:t>
      </w:r>
    </w:p>
    <w:p>
      <w:pPr>
        <w:pStyle w:val="ListBullet"/>
        <w:spacing w:after="20"/>
      </w:pPr>
      <w:r>
        <w:t>Decide whether the four-week horizon should be four transitions after current execution or include current-period realization as step one; use one convention everywhere.</w:t>
      </w:r>
    </w:p>
    <w:p>
      <w:pPr>
        <w:pStyle w:val="ListBullet"/>
        <w:spacing w:after="20"/>
      </w:pPr>
      <w:r>
        <w:t>Freeze C role-specific priority tables for S1, S2, C, L, and T.</w:t>
      </w:r>
    </w:p>
    <w:p>
      <w:pPr>
        <w:pStyle w:val="ListBullet"/>
        <w:spacing w:after="20"/>
      </w:pPr>
      <w:r>
        <w:t>Define the common frozen counterpart policy for focal-M sensitivity.</w:t>
      </w:r>
    </w:p>
    <w:p>
      <w:pPr>
        <w:pStyle w:val="ListBullet"/>
        <w:spacing w:after="20"/>
      </w:pPr>
      <w:r>
        <w:t>Define numerical tolerance and solver failure behavior for B's optimization implementation.</w:t>
      </w:r>
    </w:p>
    <w:p>
      <w:pPr>
        <w:pStyle w:val="ListBullet"/>
        <w:spacing w:after="20"/>
      </w:pPr>
      <w:r>
        <w:t>Determine whether conditional action plans are allowed equally in A and B or whether all controllers submit only current-period actions under receding-horizon internal planning.</w:t>
      </w:r>
    </w:p>
    <w:p>
      <w:pPr>
        <w:pStyle w:val="Heading1"/>
      </w:pPr>
      <w:r>
        <w:t>46. Freeze Criteria</w:t>
      </w:r>
    </w:p>
    <w:p>
      <w:pPr>
        <w:spacing w:after="20"/>
        <w:ind w:left="317" w:hanging="259"/>
      </w:pPr>
      <w:r>
        <w:rPr>
          <w:b/>
        </w:rPr>
        <w:t xml:space="preserve">1. </w:t>
      </w:r>
      <w:r>
        <w:t>Every regime passes information-isolation and action-parity tests.</w:t>
      </w:r>
    </w:p>
    <w:p>
      <w:pPr>
        <w:spacing w:after="20"/>
        <w:ind w:left="317" w:hanging="259"/>
      </w:pPr>
      <w:r>
        <w:rPr>
          <w:b/>
        </w:rPr>
        <w:t xml:space="preserve">2. </w:t>
      </w:r>
      <w:r>
        <w:t>PV-PP operator trace matches current canonical authority.</w:t>
      </w:r>
    </w:p>
    <w:p>
      <w:pPr>
        <w:spacing w:after="20"/>
        <w:ind w:left="317" w:hanging="259"/>
      </w:pPr>
      <w:r>
        <w:rPr>
          <w:b/>
        </w:rPr>
        <w:t xml:space="preserve">3. </w:t>
      </w:r>
      <w:r>
        <w:t>B is validated on hand-solvable planning cases and its full sensitivity panel is frozen.</w:t>
      </w:r>
    </w:p>
    <w:p>
      <w:pPr>
        <w:spacing w:after="20"/>
        <w:ind w:left="317" w:hanging="259"/>
      </w:pPr>
      <w:r>
        <w:rPr>
          <w:b/>
        </w:rPr>
        <w:t xml:space="preserve">4. </w:t>
      </w:r>
      <w:r>
        <w:t>C role priorities are fully specified and pass hand traces.</w:t>
      </w:r>
    </w:p>
    <w:p>
      <w:pPr>
        <w:spacing w:after="20"/>
        <w:ind w:left="317" w:hanging="259"/>
      </w:pPr>
      <w:r>
        <w:rPr>
          <w:b/>
        </w:rPr>
        <w:t xml:space="preserve">5. </w:t>
      </w:r>
      <w:r>
        <w:t>Population and focal-M designs are frozen.</w:t>
      </w:r>
    </w:p>
    <w:p>
      <w:pPr>
        <w:spacing w:after="20"/>
        <w:ind w:left="317" w:hanging="259"/>
      </w:pPr>
      <w:r>
        <w:rPr>
          <w:b/>
        </w:rPr>
        <w:t xml:space="preserve">6. </w:t>
      </w:r>
      <w:r>
        <w:t>Computational ceilings are calibrated without comparative outcome tuning.</w:t>
      </w:r>
    </w:p>
    <w:p>
      <w:pPr>
        <w:spacing w:after="20"/>
        <w:ind w:left="317" w:hanging="259"/>
      </w:pPr>
      <w:r>
        <w:rPr>
          <w:b/>
        </w:rPr>
        <w:t xml:space="preserve">7. </w:t>
      </w:r>
      <w:r>
        <w:t>All role-specific objectives/history models are documented.</w:t>
      </w:r>
    </w:p>
    <w:p>
      <w:pPr>
        <w:spacing w:after="20"/>
        <w:ind w:left="317" w:hanging="259"/>
      </w:pPr>
      <w:r>
        <w:rPr>
          <w:b/>
        </w:rPr>
        <w:t xml:space="preserve">8. </w:t>
      </w:r>
      <w:r>
        <w:t>Coordination firewall tests pass.</w:t>
      </w:r>
    </w:p>
    <w:p>
      <w:pPr>
        <w:spacing w:after="20"/>
        <w:ind w:left="317" w:hanging="259"/>
      </w:pPr>
      <w:r>
        <w:rPr>
          <w:b/>
        </w:rPr>
        <w:t xml:space="preserve">9. </w:t>
      </w:r>
      <w:r>
        <w:t>No controller has direct world-object access.</w:t>
      </w:r>
    </w:p>
    <w:p>
      <w:pPr>
        <w:spacing w:after="20"/>
        <w:ind w:left="317" w:hanging="259"/>
      </w:pPr>
      <w:r>
        <w:rPr>
          <w:b/>
        </w:rPr>
        <w:t xml:space="preserve">10. </w:t>
      </w:r>
      <w:r>
        <w:t>Deterministic replay succeeds.</w:t>
      </w:r>
    </w:p>
    <w:p>
      <w:pPr>
        <w:spacing w:after="20"/>
        <w:ind w:left="317" w:hanging="259"/>
      </w:pPr>
      <w:r>
        <w:rPr>
          <w:b/>
        </w:rPr>
        <w:t xml:space="preserve">11. </w:t>
      </w:r>
      <w:r>
        <w:t>Hostile-review questions have written answers.</w:t>
      </w:r>
    </w:p>
    <w:p>
      <w:pPr>
        <w:spacing w:after="20"/>
        <w:ind w:left="317" w:hanging="259"/>
      </w:pPr>
      <w:r>
        <w:rPr>
          <w:b/>
        </w:rPr>
        <w:t xml:space="preserve">12. </w:t>
      </w:r>
      <w:r>
        <w:t>Configuration/code hashes can be placed in the pre-freeze manifest.</w:t>
      </w:r>
    </w:p>
    <w:p>
      <w:pPr>
        <w:pStyle w:val="Heading1"/>
      </w:pPr>
      <w:r>
        <w:t>47. Next Artifact</w:t>
      </w:r>
    </w:p>
    <w:p>
      <w:r>
        <w:t>The next artifact should be the Outcome, Failure, and Ledger Specification v0.6. It should define exact external outcome formulas, PP-vector reporting, recovery and terminal metrics, cascade counting, adaptation/resource cost, failure attribution protocol, world-infeasibility diagnosis, immutable run ledger schema, seed/run identifiers, invalid-run handling, correction ledger, aggregation/statistical summaries, and rules for preserving negative or neutral results.</w:t>
      </w:r>
    </w:p>
    <w:p>
      <w:r>
        <w:t>After v0.6, the benchmark package should undergo a paper-only consistency audit, manual traces, structural favoritism audit, and a pre-freeze manifest. Coding should still wait until those checks are complete.</w:t>
      </w:r>
    </w:p>
    <w:p>
      <w:pPr>
        <w:pStyle w:val="Heading1"/>
      </w:pPr>
      <w:r>
        <w:t>48. Design Judgment</w:t>
      </w:r>
    </w:p>
    <w:p>
      <w:r>
        <w:t>The comparator problem is now narrower. The benchmark should not ask whether PV-PP can beat a weak weighted sum or a memoryless heuristic. It should ask whether its explicit heterogeneous, relational, adequacy, and candidate-governance structure produces useful behavior when a competent scalar optimizer has the same evidence, a matched horizon, uncertainty treatment, persistent history, hard constraints, and comparable computation.</w:t>
      </w:r>
    </w:p>
    <w:p>
      <w:r>
        <w:t>The remaining danger is implementation asymmetry. In particular, candidate enumeration, computational budgets, role-specific scalar objectives, and homogeneous-regime coordination can unintentionally favor one architecture. Those items must be frozen and audited before the first comparative run.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PVPP Controller Interface and Comparator Specification v0.5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