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Benchmark V2 — M14 Banking and Validation Record</w:t>
      </w:r>
    </w:p>
    <w:p>
      <w:pPr>
        <w:jc w:val="center"/>
      </w:pPr>
      <w:r>
        <w:rPr>
          <w:b/>
        </w:rPr>
        <w:t>Version 1 • 1 September 2026</w:t>
      </w:r>
    </w:p>
    <w:p>
      <w:pPr>
        <w:jc w:val="center"/>
      </w:pPr>
      <w:r>
        <w:rPr>
          <w:b/>
        </w:rPr>
        <w:t>STATUS: M14 BANKED AS PRIMARY EVIDENCE</w:t>
      </w:r>
    </w:p>
    <w:p>
      <w:r>
        <w:rPr>
          <w:b/>
        </w:rPr>
        <w:t xml:space="preserve">Disposition. </w:t>
      </w:r>
      <w:r>
        <w:t>The M14 production ensemble is formally banked as the clean primary successor to diagnostic M13. M12 remains preserved exactly as the first banked hard benchmark. M13 remains preserved as diagnostic, unbanked evidence because its pre-existing quality-path implementation did not conform to the frozen major-field-event rule. No M13 or M14 observed comparative outcome was used to tune M14.</w:t>
      </w:r>
    </w:p>
    <w:p>
      <w:pPr>
        <w:pStyle w:val="Heading1"/>
      </w:pPr>
      <w:r>
        <w:t>1. Scope and governing integrity rule</w:t>
      </w:r>
    </w:p>
    <w:p>
      <w:r>
        <w:t>This record closes the M14 post-production banking audit. It does not reopen closed benchmark-design issues, does not modify the M13 customer-exit calibration, and does not alter any benchmark parameter in response to observed production results. The governing methodological rule remains: corrections must follow frozen authority or an outcome-blind prospective closure. M14 was executed only after D10 and related quality/CRN implementation defects were repaired and pre-run conformance/readiness gates passed.</w:t>
      </w:r>
    </w:p>
    <w:p>
      <w:pPr>
        <w:pStyle w:val="Heading1"/>
      </w:pPr>
      <w:r>
        <w:t>2. Production completeness and structural validation</w:t>
      </w:r>
    </w:p>
    <w:p>
      <w:r>
        <w:t>The completed M14 package contains 1,000 seed files and exactly 7,000 regime-runs: 1,000 each for A, B0, B1, B2, B3, B4, and C. The production validation reports zero run failures and zero structural errors. No decision timeout occurred and no decision was marked budget-exhausted. Production did reach the locked 10,000-transition-evaluation ceiling on some M decisions; those decisions completed their full candidate surfaces and were not classified as exhausted or invalid.</w:t>
      </w:r>
    </w:p>
    <w:p>
      <w:pPr>
        <w:pStyle w:val="Heading1"/>
      </w:pPr>
      <w:r>
        <w:t>3. Re-executed conformance and readiness gates</w:t>
      </w:r>
    </w:p>
    <w:p>
      <w:r>
        <w:t>After the production package was returned, the audit re-ran the current M14 test gates from the frozen build. Conformance passed 128/128. Production readiness passed 40/40. A/B root action-surface parity remained 100%. The readiness maximum was 9,600 transition evaluations against the 10,000 ceiling.</w:t>
      </w:r>
    </w:p>
    <w:p>
      <w:pPr>
        <w:pStyle w:val="Heading1"/>
      </w:pPr>
      <w:r>
        <w:t>4. Narrow board-level provenance and CRN audit</w:t>
      </w:r>
    </w:p>
    <w:p>
      <w:r>
        <w:t>The final banking audit re-executed deliberately selected high-event and divergent seeds through representative regimes and inspected live ledgers rather than relying only on serialized aggregate outputs. Fifteen replayed runs covered 144 incoming-quality events, 457 delivered-board field-risk exposures, 117 scheduled field failures, and 21 major field-quality events. The audit found zero archive-replay mismatches, inspection-sample integrity failures, board-identity origin failures, field-failure RNG mismatches, field-delay mismatches, cross-regime CRN mismatches, invalid major-event counts, or duplicate triggers for the same rolling delivery window.</w:t>
      </w:r>
    </w:p>
    <w:p>
      <w:pPr>
        <w:pStyle w:val="Heading1"/>
      </w:pPr>
      <w:r>
        <w:t>5. CRN and physical-identity conclusion</w:t>
      </w:r>
    </w:p>
    <w:p>
      <w:r>
        <w:t>The repaired implementation preserves stable physical S1 board identity from incoming shipment through inspection, FIFO production, rework provenance, customer delivery, delayed field-risk realization, and major-event attribution. Incoming inspection uses event-keyed board rankings and a uniform subset without replacement. Latent defects and inspection sensitivity/specificity are keyed without regime identity. Field-failure and delay draws are keyed to stable board identity and risk provenance rather than final customer-shipment ordinal. Where regimes share the same physical event identity, the random realization is shared; controller-dependent divergence arises from different actions and state paths rather than regime-coded random draws.</w:t>
      </w:r>
    </w:p>
    <w:p>
      <w:pPr>
        <w:pStyle w:val="Heading1"/>
      </w:pPr>
      <w:r>
        <w:t>6. D10 rolling-cohort conclusion</w:t>
      </w:r>
    </w:p>
    <w:p>
      <w:r>
        <w:t>M14 evaluates major field-quality events against observed attributable failures grouped by adjacent delivery periods, not by the period in which failures become due. A distinct rolling two-period delivery window is evaluated at most once. The repaired production paths visibly exercise this mechanism. The frozen authority states that at least four attributable failures in the rolling delivered cohort can trigger major field-quality consequences; the controlling M14 closure specifies a rolling two-week delivered cohort. The authority does not separately specify deduplication across two different overlapping rolling windows. M14 therefore preserves the pre-run implementation interpretation that each distinct rolling two-week window is its own cohort and may trigger once if it independently meets the threshold. No post-result change is made to that interpretation.</w:t>
      </w:r>
    </w:p>
    <w:p>
      <w:pPr>
        <w:pStyle w:val="Heading1"/>
      </w:pPr>
      <w:r>
        <w:t>7. End-horizon collapse and censoring</w:t>
      </w:r>
    </w:p>
    <w:p>
      <w:r>
        <w:t>The P16 horizon remains unchanged. Customer termination is executable only when C operations PP has collapsed to zero and a customer decision remains available. A run that reaches C operations PP = 0 at the end of P16 without a P17 decision is reported as a right-censored business collapse rather than successful survival. This is a reporting distinction, not a horizon or controller change.</w:t>
      </w:r>
    </w:p>
    <w:p>
      <w:pPr>
        <w:pStyle w:val="Heading1"/>
      </w:pPr>
      <w:r>
        <w:t>8. Banked M14 descriptive results</w:t>
      </w:r>
    </w:p>
    <w:p>
      <w:r>
        <w:t>The following values are descriptive banked production means. They are not used to justify or alter the benchmark specification.</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pPr>
              <w:spacing w:after="0" w:before="0"/>
            </w:pPr>
            <w:r>
              <w:rPr>
                <w:b/>
                <w:sz w:val="17"/>
              </w:rPr>
              <w:t>Regime</w:t>
            </w:r>
          </w:p>
        </w:tc>
        <w:tc>
          <w:tcPr>
            <w:tcW w:type="dxa" w:w="1260"/>
            <w:vAlign w:val="center"/>
          </w:tcPr>
          <w:p>
            <w:pPr>
              <w:spacing w:after="0" w:before="0"/>
            </w:pPr>
            <w:r>
              <w:rPr>
                <w:b/>
                <w:sz w:val="17"/>
              </w:rPr>
              <w:t>Delivered</w:t>
            </w:r>
          </w:p>
        </w:tc>
        <w:tc>
          <w:tcPr>
            <w:tcW w:type="dxa" w:w="1260"/>
            <w:vAlign w:val="center"/>
          </w:tcPr>
          <w:p>
            <w:pPr>
              <w:spacing w:after="0" w:before="0"/>
            </w:pPr>
            <w:r>
              <w:rPr>
                <w:b/>
                <w:sz w:val="17"/>
              </w:rPr>
              <w:t>Physical shortage</w:t>
            </w:r>
          </w:p>
        </w:tc>
        <w:tc>
          <w:tcPr>
            <w:tcW w:type="dxa" w:w="1260"/>
            <w:vAlign w:val="center"/>
          </w:tcPr>
          <w:p>
            <w:pPr>
              <w:spacing w:after="0" w:before="0"/>
            </w:pPr>
            <w:r>
              <w:rPr>
                <w:b/>
                <w:sz w:val="17"/>
              </w:rPr>
              <w:t>Terminal cash ($k)</w:t>
            </w:r>
          </w:p>
        </w:tc>
        <w:tc>
          <w:tcPr>
            <w:tcW w:type="dxa" w:w="1260"/>
            <w:vAlign w:val="center"/>
          </w:tcPr>
          <w:p>
            <w:pPr>
              <w:spacing w:after="0" w:before="0"/>
            </w:pPr>
            <w:r>
              <w:rPr>
                <w:b/>
                <w:sz w:val="17"/>
              </w:rPr>
              <w:t>Adaptation cost ($k)</w:t>
            </w:r>
          </w:p>
        </w:tc>
        <w:tc>
          <w:tcPr>
            <w:tcW w:type="dxa" w:w="1260"/>
            <w:vAlign w:val="center"/>
          </w:tcPr>
          <w:p>
            <w:pPr>
              <w:spacing w:after="0" w:before="0"/>
            </w:pPr>
            <w:r>
              <w:rPr>
                <w:b/>
                <w:sz w:val="17"/>
              </w:rPr>
              <w:t>S1 line PP</w:t>
            </w:r>
          </w:p>
        </w:tc>
        <w:tc>
          <w:tcPr>
            <w:tcW w:type="dxa" w:w="1260"/>
            <w:vAlign w:val="center"/>
          </w:tcPr>
          <w:p>
            <w:pPr>
              <w:spacing w:after="0" w:before="0"/>
            </w:pPr>
            <w:r>
              <w:rPr>
                <w:b/>
                <w:sz w:val="17"/>
              </w:rPr>
              <w:t>S1 quality PP</w:t>
            </w:r>
          </w:p>
        </w:tc>
        <w:tc>
          <w:tcPr>
            <w:tcW w:type="dxa" w:w="1260"/>
            <w:vAlign w:val="center"/>
          </w:tcPr>
          <w:p>
            <w:pPr>
              <w:spacing w:after="0" w:before="0"/>
            </w:pPr>
            <w:r>
              <w:rPr>
                <w:b/>
                <w:sz w:val="17"/>
              </w:rPr>
              <w:t>Major events/run</w:t>
            </w:r>
          </w:p>
        </w:tc>
      </w:tr>
      <w:tr>
        <w:tc>
          <w:tcPr>
            <w:tcW w:type="dxa" w:w="1260"/>
            <w:vAlign w:val="center"/>
          </w:tcPr>
          <w:p>
            <w:pPr>
              <w:spacing w:after="0" w:before="0"/>
            </w:pPr>
            <w:r>
              <w:rPr>
                <w:sz w:val="17"/>
              </w:rPr>
              <w:t>A</w:t>
            </w:r>
          </w:p>
        </w:tc>
        <w:tc>
          <w:tcPr>
            <w:tcW w:type="dxa" w:w="1260"/>
            <w:vAlign w:val="center"/>
          </w:tcPr>
          <w:p>
            <w:pPr>
              <w:spacing w:after="0" w:before="0"/>
            </w:pPr>
            <w:r>
              <w:rPr>
                <w:sz w:val="17"/>
              </w:rPr>
              <w:t>1134.976</w:t>
            </w:r>
          </w:p>
        </w:tc>
        <w:tc>
          <w:tcPr>
            <w:tcW w:type="dxa" w:w="1260"/>
            <w:vAlign w:val="center"/>
          </w:tcPr>
          <w:p>
            <w:pPr>
              <w:spacing w:after="0" w:before="0"/>
            </w:pPr>
            <w:r>
              <w:rPr>
                <w:sz w:val="17"/>
              </w:rPr>
              <w:t>281.916</w:t>
            </w:r>
          </w:p>
        </w:tc>
        <w:tc>
          <w:tcPr>
            <w:tcW w:type="dxa" w:w="1260"/>
            <w:vAlign w:val="center"/>
          </w:tcPr>
          <w:p>
            <w:pPr>
              <w:spacing w:after="0" w:before="0"/>
            </w:pPr>
            <w:r>
              <w:rPr>
                <w:sz w:val="17"/>
              </w:rPr>
              <w:t>1547.381</w:t>
            </w:r>
          </w:p>
        </w:tc>
        <w:tc>
          <w:tcPr>
            <w:tcW w:type="dxa" w:w="1260"/>
            <w:vAlign w:val="center"/>
          </w:tcPr>
          <w:p>
            <w:pPr>
              <w:spacing w:after="0" w:before="0"/>
            </w:pPr>
            <w:r>
              <w:rPr>
                <w:sz w:val="17"/>
              </w:rPr>
              <w:t>135.440</w:t>
            </w:r>
          </w:p>
        </w:tc>
        <w:tc>
          <w:tcPr>
            <w:tcW w:type="dxa" w:w="1260"/>
            <w:vAlign w:val="center"/>
          </w:tcPr>
          <w:p>
            <w:pPr>
              <w:spacing w:after="0" w:before="0"/>
            </w:pPr>
            <w:r>
              <w:rPr>
                <w:sz w:val="17"/>
              </w:rPr>
              <w:t>85.440</w:t>
            </w:r>
          </w:p>
        </w:tc>
        <w:tc>
          <w:tcPr>
            <w:tcW w:type="dxa" w:w="1260"/>
            <w:vAlign w:val="center"/>
          </w:tcPr>
          <w:p>
            <w:pPr>
              <w:spacing w:after="0" w:before="0"/>
            </w:pPr>
            <w:r>
              <w:rPr>
                <w:sz w:val="17"/>
              </w:rPr>
              <w:t>82.239</w:t>
            </w:r>
          </w:p>
        </w:tc>
        <w:tc>
          <w:tcPr>
            <w:tcW w:type="dxa" w:w="1260"/>
            <w:vAlign w:val="center"/>
          </w:tcPr>
          <w:p>
            <w:pPr>
              <w:spacing w:after="0" w:before="0"/>
            </w:pPr>
            <w:r>
              <w:rPr>
                <w:sz w:val="17"/>
              </w:rPr>
              <w:t>0.031</w:t>
            </w:r>
          </w:p>
        </w:tc>
      </w:tr>
      <w:tr>
        <w:tc>
          <w:tcPr>
            <w:tcW w:type="dxa" w:w="1260"/>
            <w:vAlign w:val="center"/>
          </w:tcPr>
          <w:p>
            <w:pPr>
              <w:spacing w:after="0" w:before="0"/>
            </w:pPr>
            <w:r>
              <w:rPr>
                <w:sz w:val="17"/>
              </w:rPr>
              <w:t>B0</w:t>
            </w:r>
          </w:p>
        </w:tc>
        <w:tc>
          <w:tcPr>
            <w:tcW w:type="dxa" w:w="1260"/>
            <w:vAlign w:val="center"/>
          </w:tcPr>
          <w:p>
            <w:pPr>
              <w:spacing w:after="0" w:before="0"/>
            </w:pPr>
            <w:r>
              <w:rPr>
                <w:sz w:val="17"/>
              </w:rPr>
              <w:t>949.349</w:t>
            </w:r>
          </w:p>
        </w:tc>
        <w:tc>
          <w:tcPr>
            <w:tcW w:type="dxa" w:w="1260"/>
            <w:vAlign w:val="center"/>
          </w:tcPr>
          <w:p>
            <w:pPr>
              <w:spacing w:after="0" w:before="0"/>
            </w:pPr>
            <w:r>
              <w:rPr>
                <w:sz w:val="17"/>
              </w:rPr>
              <w:t>460.277</w:t>
            </w:r>
          </w:p>
        </w:tc>
        <w:tc>
          <w:tcPr>
            <w:tcW w:type="dxa" w:w="1260"/>
            <w:vAlign w:val="center"/>
          </w:tcPr>
          <w:p>
            <w:pPr>
              <w:spacing w:after="0" w:before="0"/>
            </w:pPr>
            <w:r>
              <w:rPr>
                <w:sz w:val="17"/>
              </w:rPr>
              <w:t>1166.761</w:t>
            </w:r>
          </w:p>
        </w:tc>
        <w:tc>
          <w:tcPr>
            <w:tcW w:type="dxa" w:w="1260"/>
            <w:vAlign w:val="center"/>
          </w:tcPr>
          <w:p>
            <w:pPr>
              <w:spacing w:after="0" w:before="0"/>
            </w:pPr>
            <w:r>
              <w:rPr>
                <w:sz w:val="17"/>
              </w:rPr>
              <w:t>206.780</w:t>
            </w:r>
          </w:p>
        </w:tc>
        <w:tc>
          <w:tcPr>
            <w:tcW w:type="dxa" w:w="1260"/>
            <w:vAlign w:val="center"/>
          </w:tcPr>
          <w:p>
            <w:pPr>
              <w:spacing w:after="0" w:before="0"/>
            </w:pPr>
            <w:r>
              <w:rPr>
                <w:sz w:val="17"/>
              </w:rPr>
              <w:t>50.630</w:t>
            </w:r>
          </w:p>
        </w:tc>
        <w:tc>
          <w:tcPr>
            <w:tcW w:type="dxa" w:w="1260"/>
            <w:vAlign w:val="center"/>
          </w:tcPr>
          <w:p>
            <w:pPr>
              <w:spacing w:after="0" w:before="0"/>
            </w:pPr>
            <w:r>
              <w:rPr>
                <w:sz w:val="17"/>
              </w:rPr>
              <w:t>37.101</w:t>
            </w:r>
          </w:p>
        </w:tc>
        <w:tc>
          <w:tcPr>
            <w:tcW w:type="dxa" w:w="1260"/>
            <w:vAlign w:val="center"/>
          </w:tcPr>
          <w:p>
            <w:pPr>
              <w:spacing w:after="0" w:before="0"/>
            </w:pPr>
            <w:r>
              <w:rPr>
                <w:sz w:val="17"/>
              </w:rPr>
              <w:t>0.719</w:t>
            </w:r>
          </w:p>
        </w:tc>
      </w:tr>
      <w:tr>
        <w:tc>
          <w:tcPr>
            <w:tcW w:type="dxa" w:w="1260"/>
            <w:vAlign w:val="center"/>
          </w:tcPr>
          <w:p>
            <w:pPr>
              <w:spacing w:after="0" w:before="0"/>
            </w:pPr>
            <w:r>
              <w:rPr>
                <w:sz w:val="17"/>
              </w:rPr>
              <w:t>B1</w:t>
            </w:r>
          </w:p>
        </w:tc>
        <w:tc>
          <w:tcPr>
            <w:tcW w:type="dxa" w:w="1260"/>
            <w:vAlign w:val="center"/>
          </w:tcPr>
          <w:p>
            <w:pPr>
              <w:spacing w:after="0" w:before="0"/>
            </w:pPr>
            <w:r>
              <w:rPr>
                <w:sz w:val="17"/>
              </w:rPr>
              <w:t>948.269</w:t>
            </w:r>
          </w:p>
        </w:tc>
        <w:tc>
          <w:tcPr>
            <w:tcW w:type="dxa" w:w="1260"/>
            <w:vAlign w:val="center"/>
          </w:tcPr>
          <w:p>
            <w:pPr>
              <w:spacing w:after="0" w:before="0"/>
            </w:pPr>
            <w:r>
              <w:rPr>
                <w:sz w:val="17"/>
              </w:rPr>
              <w:t>461.459</w:t>
            </w:r>
          </w:p>
        </w:tc>
        <w:tc>
          <w:tcPr>
            <w:tcW w:type="dxa" w:w="1260"/>
            <w:vAlign w:val="center"/>
          </w:tcPr>
          <w:p>
            <w:pPr>
              <w:spacing w:after="0" w:before="0"/>
            </w:pPr>
            <w:r>
              <w:rPr>
                <w:sz w:val="17"/>
              </w:rPr>
              <w:t>1165.707</w:t>
            </w:r>
          </w:p>
        </w:tc>
        <w:tc>
          <w:tcPr>
            <w:tcW w:type="dxa" w:w="1260"/>
            <w:vAlign w:val="center"/>
          </w:tcPr>
          <w:p>
            <w:pPr>
              <w:spacing w:after="0" w:before="0"/>
            </w:pPr>
            <w:r>
              <w:rPr>
                <w:sz w:val="17"/>
              </w:rPr>
              <w:t>201.060</w:t>
            </w:r>
          </w:p>
        </w:tc>
        <w:tc>
          <w:tcPr>
            <w:tcW w:type="dxa" w:w="1260"/>
            <w:vAlign w:val="center"/>
          </w:tcPr>
          <w:p>
            <w:pPr>
              <w:spacing w:after="0" w:before="0"/>
            </w:pPr>
            <w:r>
              <w:rPr>
                <w:sz w:val="17"/>
              </w:rPr>
              <w:t>50.610</w:t>
            </w:r>
          </w:p>
        </w:tc>
        <w:tc>
          <w:tcPr>
            <w:tcW w:type="dxa" w:w="1260"/>
            <w:vAlign w:val="center"/>
          </w:tcPr>
          <w:p>
            <w:pPr>
              <w:spacing w:after="0" w:before="0"/>
            </w:pPr>
            <w:r>
              <w:rPr>
                <w:sz w:val="17"/>
              </w:rPr>
              <w:t>37.081</w:t>
            </w:r>
          </w:p>
        </w:tc>
        <w:tc>
          <w:tcPr>
            <w:tcW w:type="dxa" w:w="1260"/>
            <w:vAlign w:val="center"/>
          </w:tcPr>
          <w:p>
            <w:pPr>
              <w:spacing w:after="0" w:before="0"/>
            </w:pPr>
            <w:r>
              <w:rPr>
                <w:sz w:val="17"/>
              </w:rPr>
              <w:t>0.628</w:t>
            </w:r>
          </w:p>
        </w:tc>
      </w:tr>
      <w:tr>
        <w:tc>
          <w:tcPr>
            <w:tcW w:type="dxa" w:w="1260"/>
            <w:vAlign w:val="center"/>
          </w:tcPr>
          <w:p>
            <w:pPr>
              <w:spacing w:after="0" w:before="0"/>
            </w:pPr>
            <w:r>
              <w:rPr>
                <w:sz w:val="17"/>
              </w:rPr>
              <w:t>B2</w:t>
            </w:r>
          </w:p>
        </w:tc>
        <w:tc>
          <w:tcPr>
            <w:tcW w:type="dxa" w:w="1260"/>
            <w:vAlign w:val="center"/>
          </w:tcPr>
          <w:p>
            <w:pPr>
              <w:spacing w:after="0" w:before="0"/>
            </w:pPr>
            <w:r>
              <w:rPr>
                <w:sz w:val="17"/>
              </w:rPr>
              <w:t>950.598</w:t>
            </w:r>
          </w:p>
        </w:tc>
        <w:tc>
          <w:tcPr>
            <w:tcW w:type="dxa" w:w="1260"/>
            <w:vAlign w:val="center"/>
          </w:tcPr>
          <w:p>
            <w:pPr>
              <w:spacing w:after="0" w:before="0"/>
            </w:pPr>
            <w:r>
              <w:rPr>
                <w:sz w:val="17"/>
              </w:rPr>
              <w:t>458.691</w:t>
            </w:r>
          </w:p>
        </w:tc>
        <w:tc>
          <w:tcPr>
            <w:tcW w:type="dxa" w:w="1260"/>
            <w:vAlign w:val="center"/>
          </w:tcPr>
          <w:p>
            <w:pPr>
              <w:spacing w:after="0" w:before="0"/>
            </w:pPr>
            <w:r>
              <w:rPr>
                <w:sz w:val="17"/>
              </w:rPr>
              <w:t>1146.993</w:t>
            </w:r>
          </w:p>
        </w:tc>
        <w:tc>
          <w:tcPr>
            <w:tcW w:type="dxa" w:w="1260"/>
            <w:vAlign w:val="center"/>
          </w:tcPr>
          <w:p>
            <w:pPr>
              <w:spacing w:after="0" w:before="0"/>
            </w:pPr>
            <w:r>
              <w:rPr>
                <w:sz w:val="17"/>
              </w:rPr>
              <w:t>228.780</w:t>
            </w:r>
          </w:p>
        </w:tc>
        <w:tc>
          <w:tcPr>
            <w:tcW w:type="dxa" w:w="1260"/>
            <w:vAlign w:val="center"/>
          </w:tcPr>
          <w:p>
            <w:pPr>
              <w:spacing w:after="0" w:before="0"/>
            </w:pPr>
            <w:r>
              <w:rPr>
                <w:sz w:val="17"/>
              </w:rPr>
              <w:t>50.635</w:t>
            </w:r>
          </w:p>
        </w:tc>
        <w:tc>
          <w:tcPr>
            <w:tcW w:type="dxa" w:w="1260"/>
            <w:vAlign w:val="center"/>
          </w:tcPr>
          <w:p>
            <w:pPr>
              <w:spacing w:after="0" w:before="0"/>
            </w:pPr>
            <w:r>
              <w:rPr>
                <w:sz w:val="17"/>
              </w:rPr>
              <w:t>37.081</w:t>
            </w:r>
          </w:p>
        </w:tc>
        <w:tc>
          <w:tcPr>
            <w:tcW w:type="dxa" w:w="1260"/>
            <w:vAlign w:val="center"/>
          </w:tcPr>
          <w:p>
            <w:pPr>
              <w:spacing w:after="0" w:before="0"/>
            </w:pPr>
            <w:r>
              <w:rPr>
                <w:sz w:val="17"/>
              </w:rPr>
              <w:t>0.710</w:t>
            </w:r>
          </w:p>
        </w:tc>
      </w:tr>
      <w:tr>
        <w:tc>
          <w:tcPr>
            <w:tcW w:type="dxa" w:w="1260"/>
            <w:vAlign w:val="center"/>
          </w:tcPr>
          <w:p>
            <w:pPr>
              <w:spacing w:after="0" w:before="0"/>
            </w:pPr>
            <w:r>
              <w:rPr>
                <w:sz w:val="17"/>
              </w:rPr>
              <w:t>B3</w:t>
            </w:r>
          </w:p>
        </w:tc>
        <w:tc>
          <w:tcPr>
            <w:tcW w:type="dxa" w:w="1260"/>
            <w:vAlign w:val="center"/>
          </w:tcPr>
          <w:p>
            <w:pPr>
              <w:spacing w:after="0" w:before="0"/>
            </w:pPr>
            <w:r>
              <w:rPr>
                <w:sz w:val="17"/>
              </w:rPr>
              <w:t>950.145</w:t>
            </w:r>
          </w:p>
        </w:tc>
        <w:tc>
          <w:tcPr>
            <w:tcW w:type="dxa" w:w="1260"/>
            <w:vAlign w:val="center"/>
          </w:tcPr>
          <w:p>
            <w:pPr>
              <w:spacing w:after="0" w:before="0"/>
            </w:pPr>
            <w:r>
              <w:rPr>
                <w:sz w:val="17"/>
              </w:rPr>
              <w:t>459.650</w:t>
            </w:r>
          </w:p>
        </w:tc>
        <w:tc>
          <w:tcPr>
            <w:tcW w:type="dxa" w:w="1260"/>
            <w:vAlign w:val="center"/>
          </w:tcPr>
          <w:p>
            <w:pPr>
              <w:spacing w:after="0" w:before="0"/>
            </w:pPr>
            <w:r>
              <w:rPr>
                <w:sz w:val="17"/>
              </w:rPr>
              <w:t>1170.517</w:t>
            </w:r>
          </w:p>
        </w:tc>
        <w:tc>
          <w:tcPr>
            <w:tcW w:type="dxa" w:w="1260"/>
            <w:vAlign w:val="center"/>
          </w:tcPr>
          <w:p>
            <w:pPr>
              <w:spacing w:after="0" w:before="0"/>
            </w:pPr>
            <w:r>
              <w:rPr>
                <w:sz w:val="17"/>
              </w:rPr>
              <w:t>205.980</w:t>
            </w:r>
          </w:p>
        </w:tc>
        <w:tc>
          <w:tcPr>
            <w:tcW w:type="dxa" w:w="1260"/>
            <w:vAlign w:val="center"/>
          </w:tcPr>
          <w:p>
            <w:pPr>
              <w:spacing w:after="0" w:before="0"/>
            </w:pPr>
            <w:r>
              <w:rPr>
                <w:sz w:val="17"/>
              </w:rPr>
              <w:t>50.645</w:t>
            </w:r>
          </w:p>
        </w:tc>
        <w:tc>
          <w:tcPr>
            <w:tcW w:type="dxa" w:w="1260"/>
            <w:vAlign w:val="center"/>
          </w:tcPr>
          <w:p>
            <w:pPr>
              <w:spacing w:after="0" w:before="0"/>
            </w:pPr>
            <w:r>
              <w:rPr>
                <w:sz w:val="17"/>
              </w:rPr>
              <w:t>37.121</w:t>
            </w:r>
          </w:p>
        </w:tc>
        <w:tc>
          <w:tcPr>
            <w:tcW w:type="dxa" w:w="1260"/>
            <w:vAlign w:val="center"/>
          </w:tcPr>
          <w:p>
            <w:pPr>
              <w:spacing w:after="0" w:before="0"/>
            </w:pPr>
            <w:r>
              <w:rPr>
                <w:sz w:val="17"/>
              </w:rPr>
              <w:t>0.738</w:t>
            </w:r>
          </w:p>
        </w:tc>
      </w:tr>
      <w:tr>
        <w:tc>
          <w:tcPr>
            <w:tcW w:type="dxa" w:w="1260"/>
            <w:vAlign w:val="center"/>
          </w:tcPr>
          <w:p>
            <w:pPr>
              <w:spacing w:after="0" w:before="0"/>
            </w:pPr>
            <w:r>
              <w:rPr>
                <w:sz w:val="17"/>
              </w:rPr>
              <w:t>B4</w:t>
            </w:r>
          </w:p>
        </w:tc>
        <w:tc>
          <w:tcPr>
            <w:tcW w:type="dxa" w:w="1260"/>
            <w:vAlign w:val="center"/>
          </w:tcPr>
          <w:p>
            <w:pPr>
              <w:spacing w:after="0" w:before="0"/>
            </w:pPr>
            <w:r>
              <w:rPr>
                <w:sz w:val="17"/>
              </w:rPr>
              <w:t>950.175</w:t>
            </w:r>
          </w:p>
        </w:tc>
        <w:tc>
          <w:tcPr>
            <w:tcW w:type="dxa" w:w="1260"/>
            <w:vAlign w:val="center"/>
          </w:tcPr>
          <w:p>
            <w:pPr>
              <w:spacing w:after="0" w:before="0"/>
            </w:pPr>
            <w:r>
              <w:rPr>
                <w:sz w:val="17"/>
              </w:rPr>
              <w:t>459.123</w:t>
            </w:r>
          </w:p>
        </w:tc>
        <w:tc>
          <w:tcPr>
            <w:tcW w:type="dxa" w:w="1260"/>
            <w:vAlign w:val="center"/>
          </w:tcPr>
          <w:p>
            <w:pPr>
              <w:spacing w:after="0" w:before="0"/>
            </w:pPr>
            <w:r>
              <w:rPr>
                <w:sz w:val="17"/>
              </w:rPr>
              <w:t>1143.925</w:t>
            </w:r>
          </w:p>
        </w:tc>
        <w:tc>
          <w:tcPr>
            <w:tcW w:type="dxa" w:w="1260"/>
            <w:vAlign w:val="center"/>
          </w:tcPr>
          <w:p>
            <w:pPr>
              <w:spacing w:after="0" w:before="0"/>
            </w:pPr>
            <w:r>
              <w:rPr>
                <w:sz w:val="17"/>
              </w:rPr>
              <w:t>227.900</w:t>
            </w:r>
          </w:p>
        </w:tc>
        <w:tc>
          <w:tcPr>
            <w:tcW w:type="dxa" w:w="1260"/>
            <w:vAlign w:val="center"/>
          </w:tcPr>
          <w:p>
            <w:pPr>
              <w:spacing w:after="0" w:before="0"/>
            </w:pPr>
            <w:r>
              <w:rPr>
                <w:sz w:val="17"/>
              </w:rPr>
              <w:t>50.630</w:t>
            </w:r>
          </w:p>
        </w:tc>
        <w:tc>
          <w:tcPr>
            <w:tcW w:type="dxa" w:w="1260"/>
            <w:vAlign w:val="center"/>
          </w:tcPr>
          <w:p>
            <w:pPr>
              <w:spacing w:after="0" w:before="0"/>
            </w:pPr>
            <w:r>
              <w:rPr>
                <w:sz w:val="17"/>
              </w:rPr>
              <w:t>37.076</w:t>
            </w:r>
          </w:p>
        </w:tc>
        <w:tc>
          <w:tcPr>
            <w:tcW w:type="dxa" w:w="1260"/>
            <w:vAlign w:val="center"/>
          </w:tcPr>
          <w:p>
            <w:pPr>
              <w:spacing w:after="0" w:before="0"/>
            </w:pPr>
            <w:r>
              <w:rPr>
                <w:sz w:val="17"/>
              </w:rPr>
              <w:t>0.678</w:t>
            </w:r>
          </w:p>
        </w:tc>
      </w:tr>
      <w:tr>
        <w:tc>
          <w:tcPr>
            <w:tcW w:type="dxa" w:w="1260"/>
            <w:vAlign w:val="center"/>
          </w:tcPr>
          <w:p>
            <w:pPr>
              <w:spacing w:after="0" w:before="0"/>
            </w:pPr>
            <w:r>
              <w:rPr>
                <w:sz w:val="17"/>
              </w:rPr>
              <w:t>C</w:t>
            </w:r>
          </w:p>
        </w:tc>
        <w:tc>
          <w:tcPr>
            <w:tcW w:type="dxa" w:w="1260"/>
            <w:vAlign w:val="center"/>
          </w:tcPr>
          <w:p>
            <w:pPr>
              <w:spacing w:after="0" w:before="0"/>
            </w:pPr>
            <w:r>
              <w:rPr>
                <w:sz w:val="17"/>
              </w:rPr>
              <w:t>909.006</w:t>
            </w:r>
          </w:p>
        </w:tc>
        <w:tc>
          <w:tcPr>
            <w:tcW w:type="dxa" w:w="1260"/>
            <w:vAlign w:val="center"/>
          </w:tcPr>
          <w:p>
            <w:pPr>
              <w:spacing w:after="0" w:before="0"/>
            </w:pPr>
            <w:r>
              <w:rPr>
                <w:sz w:val="17"/>
              </w:rPr>
              <w:t>499.773</w:t>
            </w:r>
          </w:p>
        </w:tc>
        <w:tc>
          <w:tcPr>
            <w:tcW w:type="dxa" w:w="1260"/>
            <w:vAlign w:val="center"/>
          </w:tcPr>
          <w:p>
            <w:pPr>
              <w:spacing w:after="0" w:before="0"/>
            </w:pPr>
            <w:r>
              <w:rPr>
                <w:sz w:val="17"/>
              </w:rPr>
              <w:t>1237.689</w:t>
            </w:r>
          </w:p>
        </w:tc>
        <w:tc>
          <w:tcPr>
            <w:tcW w:type="dxa" w:w="1260"/>
            <w:vAlign w:val="center"/>
          </w:tcPr>
          <w:p>
            <w:pPr>
              <w:spacing w:after="0" w:before="0"/>
            </w:pPr>
            <w:r>
              <w:rPr>
                <w:sz w:val="17"/>
              </w:rPr>
              <w:t>0.000</w:t>
            </w:r>
          </w:p>
        </w:tc>
        <w:tc>
          <w:tcPr>
            <w:tcW w:type="dxa" w:w="1260"/>
            <w:vAlign w:val="center"/>
          </w:tcPr>
          <w:p>
            <w:pPr>
              <w:spacing w:after="0" w:before="0"/>
            </w:pPr>
            <w:r>
              <w:rPr>
                <w:sz w:val="17"/>
              </w:rPr>
              <w:t>44.945</w:t>
            </w:r>
          </w:p>
        </w:tc>
        <w:tc>
          <w:tcPr>
            <w:tcW w:type="dxa" w:w="1260"/>
            <w:vAlign w:val="center"/>
          </w:tcPr>
          <w:p>
            <w:pPr>
              <w:spacing w:after="0" w:before="0"/>
            </w:pPr>
            <w:r>
              <w:rPr>
                <w:sz w:val="17"/>
              </w:rPr>
              <w:t>34.589</w:t>
            </w:r>
          </w:p>
        </w:tc>
        <w:tc>
          <w:tcPr>
            <w:tcW w:type="dxa" w:w="1260"/>
            <w:vAlign w:val="center"/>
          </w:tcPr>
          <w:p>
            <w:pPr>
              <w:spacing w:after="0" w:before="0"/>
            </w:pPr>
            <w:r>
              <w:rPr>
                <w:sz w:val="17"/>
              </w:rPr>
              <w:t>0.165</w:t>
            </w:r>
          </w:p>
        </w:tc>
      </w:tr>
    </w:tbl>
    <w:p>
      <w:r>
        <w:rPr>
          <w:b/>
        </w:rPr>
        <w:t xml:space="preserve">Paired A–B0 directionality. </w:t>
      </w:r>
      <w:r>
        <w:t>A delivered 185.627 more units on average (A better 999/1000; one tie), had 178.361 fewer physical-shortage unit-weeks (A better 999/1000; one tie), held $380.620k more terminal cash on average (A better 951/1000), spent $71.340k less adaptation cost on average (A better 965/1000; 22 ties), and preserved S1 line and quality PP better in 1000/1000 paired seeds.</w:t>
      </w:r>
    </w:p>
    <w:p>
      <w:pPr>
        <w:pStyle w:val="Heading1"/>
      </w:pPr>
      <w:r>
        <w:t>9. Customer-collapse accounting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Regime</w:t>
            </w:r>
          </w:p>
        </w:tc>
        <w:tc>
          <w:tcPr>
            <w:tcW w:type="dxa" w:w="2520"/>
          </w:tcPr>
          <w:p>
            <w:r>
              <w:rPr>
                <w:b/>
              </w:rPr>
              <w:t>Business collapses</w:t>
            </w:r>
          </w:p>
        </w:tc>
        <w:tc>
          <w:tcPr>
            <w:tcW w:type="dxa" w:w="2520"/>
          </w:tcPr>
          <w:p>
            <w:r>
              <w:rPr>
                <w:b/>
              </w:rPr>
              <w:t>Right-censored at P16</w:t>
            </w:r>
          </w:p>
        </w:tc>
        <w:tc>
          <w:tcPr>
            <w:tcW w:type="dxa" w:w="2520"/>
          </w:tcPr>
          <w:p>
            <w:r>
              <w:rPr>
                <w:b/>
              </w:rPr>
              <w:t>Executed terminations</w:t>
            </w:r>
          </w:p>
        </w:tc>
      </w:tr>
      <w:tr>
        <w:tc>
          <w:tcPr>
            <w:tcW w:type="dxa" w:w="2520"/>
          </w:tcPr>
          <w:p>
            <w:r>
              <w:t>A</w:t>
            </w:r>
          </w:p>
        </w:tc>
        <w:tc>
          <w:tcPr>
            <w:tcW w:type="dxa" w:w="2520"/>
          </w:tcPr>
          <w:p>
            <w:r>
              <w:t>2</w:t>
            </w:r>
          </w:p>
        </w:tc>
        <w:tc>
          <w:tcPr>
            <w:tcW w:type="dxa" w:w="2520"/>
          </w:tcPr>
          <w:p>
            <w:r>
              <w:t>1</w:t>
            </w:r>
          </w:p>
        </w:tc>
        <w:tc>
          <w:tcPr>
            <w:tcW w:type="dxa" w:w="2520"/>
          </w:tcPr>
          <w:p>
            <w:r>
              <w:t>1</w:t>
            </w:r>
          </w:p>
        </w:tc>
      </w:tr>
      <w:tr>
        <w:tc>
          <w:tcPr>
            <w:tcW w:type="dxa" w:w="2520"/>
          </w:tcPr>
          <w:p>
            <w:r>
              <w:t>B0</w:t>
            </w:r>
          </w:p>
        </w:tc>
        <w:tc>
          <w:tcPr>
            <w:tcW w:type="dxa" w:w="2520"/>
          </w:tcPr>
          <w:p>
            <w:r>
              <w:t>4</w:t>
            </w:r>
          </w:p>
        </w:tc>
        <w:tc>
          <w:tcPr>
            <w:tcW w:type="dxa" w:w="2520"/>
          </w:tcPr>
          <w:p>
            <w:r>
              <w:t>3</w:t>
            </w:r>
          </w:p>
        </w:tc>
        <w:tc>
          <w:tcPr>
            <w:tcW w:type="dxa" w:w="2520"/>
          </w:tcPr>
          <w:p>
            <w:r>
              <w:t>1</w:t>
            </w:r>
          </w:p>
        </w:tc>
      </w:tr>
      <w:tr>
        <w:tc>
          <w:tcPr>
            <w:tcW w:type="dxa" w:w="2520"/>
          </w:tcPr>
          <w:p>
            <w:r>
              <w:t>B1</w:t>
            </w:r>
          </w:p>
        </w:tc>
        <w:tc>
          <w:tcPr>
            <w:tcW w:type="dxa" w:w="2520"/>
          </w:tcPr>
          <w:p>
            <w:r>
              <w:t>4</w:t>
            </w:r>
          </w:p>
        </w:tc>
        <w:tc>
          <w:tcPr>
            <w:tcW w:type="dxa" w:w="2520"/>
          </w:tcPr>
          <w:p>
            <w:r>
              <w:t>3</w:t>
            </w:r>
          </w:p>
        </w:tc>
        <w:tc>
          <w:tcPr>
            <w:tcW w:type="dxa" w:w="2520"/>
          </w:tcPr>
          <w:p>
            <w:r>
              <w:t>1</w:t>
            </w:r>
          </w:p>
        </w:tc>
      </w:tr>
      <w:tr>
        <w:tc>
          <w:tcPr>
            <w:tcW w:type="dxa" w:w="2520"/>
          </w:tcPr>
          <w:p>
            <w:r>
              <w:t>B2</w:t>
            </w:r>
          </w:p>
        </w:tc>
        <w:tc>
          <w:tcPr>
            <w:tcW w:type="dxa" w:w="2520"/>
          </w:tcPr>
          <w:p>
            <w:r>
              <w:t>3</w:t>
            </w:r>
          </w:p>
        </w:tc>
        <w:tc>
          <w:tcPr>
            <w:tcW w:type="dxa" w:w="2520"/>
          </w:tcPr>
          <w:p>
            <w:r>
              <w:t>2</w:t>
            </w:r>
          </w:p>
        </w:tc>
        <w:tc>
          <w:tcPr>
            <w:tcW w:type="dxa" w:w="2520"/>
          </w:tcPr>
          <w:p>
            <w:r>
              <w:t>1</w:t>
            </w:r>
          </w:p>
        </w:tc>
      </w:tr>
      <w:tr>
        <w:tc>
          <w:tcPr>
            <w:tcW w:type="dxa" w:w="2520"/>
          </w:tcPr>
          <w:p>
            <w:r>
              <w:t>B3</w:t>
            </w:r>
          </w:p>
        </w:tc>
        <w:tc>
          <w:tcPr>
            <w:tcW w:type="dxa" w:w="2520"/>
          </w:tcPr>
          <w:p>
            <w:r>
              <w:t>4</w:t>
            </w:r>
          </w:p>
        </w:tc>
        <w:tc>
          <w:tcPr>
            <w:tcW w:type="dxa" w:w="2520"/>
          </w:tcPr>
          <w:p>
            <w:r>
              <w:t>3</w:t>
            </w:r>
          </w:p>
        </w:tc>
        <w:tc>
          <w:tcPr>
            <w:tcW w:type="dxa" w:w="2520"/>
          </w:tcPr>
          <w:p>
            <w:r>
              <w:t>1</w:t>
            </w:r>
          </w:p>
        </w:tc>
      </w:tr>
      <w:tr>
        <w:tc>
          <w:tcPr>
            <w:tcW w:type="dxa" w:w="2520"/>
          </w:tcPr>
          <w:p>
            <w:r>
              <w:t>B4</w:t>
            </w:r>
          </w:p>
        </w:tc>
        <w:tc>
          <w:tcPr>
            <w:tcW w:type="dxa" w:w="2520"/>
          </w:tcPr>
          <w:p>
            <w:r>
              <w:t>3</w:t>
            </w:r>
          </w:p>
        </w:tc>
        <w:tc>
          <w:tcPr>
            <w:tcW w:type="dxa" w:w="2520"/>
          </w:tcPr>
          <w:p>
            <w:r>
              <w:t>2</w:t>
            </w:r>
          </w:p>
        </w:tc>
        <w:tc>
          <w:tcPr>
            <w:tcW w:type="dxa" w:w="2520"/>
          </w:tcPr>
          <w:p>
            <w:r>
              <w:t>1</w:t>
            </w:r>
          </w:p>
        </w:tc>
      </w:tr>
      <w:tr>
        <w:tc>
          <w:tcPr>
            <w:tcW w:type="dxa" w:w="2520"/>
          </w:tcPr>
          <w:p>
            <w:r>
              <w:t>C</w:t>
            </w:r>
          </w:p>
        </w:tc>
        <w:tc>
          <w:tcPr>
            <w:tcW w:type="dxa" w:w="2520"/>
          </w:tcPr>
          <w:p>
            <w:r>
              <w:t>3</w:t>
            </w:r>
          </w:p>
        </w:tc>
        <w:tc>
          <w:tcPr>
            <w:tcW w:type="dxa" w:w="2520"/>
          </w:tcPr>
          <w:p>
            <w:r>
              <w:t>2</w:t>
            </w:r>
          </w:p>
        </w:tc>
        <w:tc>
          <w:tcPr>
            <w:tcW w:type="dxa" w:w="2520"/>
          </w:tcPr>
          <w:p>
            <w:r>
              <w:t>1</w:t>
            </w:r>
          </w:p>
        </w:tc>
      </w:tr>
    </w:tbl>
    <w:p>
      <w:pPr>
        <w:pStyle w:val="Heading1"/>
      </w:pPr>
      <w:r>
        <w:t>10. Artifact freeze identity</w:t>
      </w:r>
    </w:p>
    <w:p>
      <w:r>
        <w:t>The banked production artifact is frozen by hash. The original completed production ZIP is not modified by this banking record.</w:t>
      </w:r>
    </w:p>
    <w:p>
      <w:r>
        <w:rPr>
          <w:b/>
        </w:rPr>
        <w:t xml:space="preserve">Production ZIP SHA-256: </w:t>
      </w:r>
      <w:r>
        <w:t>6b99446d59774dc59519f1a17d96e365fd0ed2493df10addebcca7489abeb963</w:t>
      </w:r>
    </w:p>
    <w:p>
      <w:r>
        <w:rPr>
          <w:b/>
        </w:rPr>
        <w:t xml:space="preserve">Ordered seed-result checksum-tree SHA-256: </w:t>
      </w:r>
      <w:r>
        <w:t>215be0407d76b2f2630c06647cd1a43cbd0c67cff7a55ff57391dbaf10a52951</w:t>
      </w:r>
    </w:p>
    <w:p>
      <w:r>
        <w:t>The checksum-tree value is the SHA-256 of the sorted list of SHA-256 lines for the 1,000 seed_*.json production result files. It provides a compact identity check for the raw result set independent of this Word record.</w:t>
      </w:r>
    </w:p>
    <w:p>
      <w:pPr>
        <w:pStyle w:val="Heading1"/>
      </w:pPr>
      <w:r>
        <w:t>11. Formal disposition</w:t>
      </w:r>
    </w:p>
    <w:p>
      <w:r>
        <w:rPr>
          <w:b/>
        </w:rPr>
        <w:t xml:space="preserve">BANK M14. </w:t>
      </w:r>
      <w:r>
        <w:t>M14 is accepted as valid primary PV-PP Benchmark V2 evidence under the frozen architecture and the prospectively repaired quality-path implementation. M13 remains diagnostic and must not be substituted for M14 in primary reporting. M12 remains historical banked evidence and must not be overwritten. Future benchmark changes, including any alternative interpretation of overlapping rolling quality windows, require a new prospective version and may not be retrofitted into M14 based on these results.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PV-PP Benchmark V2 • M14 Banking and Validation Record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