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PV-PP Benchmark V2 — M14 Pre-Banking Quality-Path Audit and D10 Repair Record</w:t>
      </w:r>
    </w:p>
    <w:p>
      <w:pPr>
        <w:jc w:val="center"/>
      </w:pPr>
      <w:r>
        <w:rPr>
          <w:b/>
        </w:rPr>
        <w:t>Version 1 • 1 September 2026</w:t>
      </w:r>
    </w:p>
    <w:p>
      <w:r>
        <w:rPr>
          <w:b/>
        </w:rPr>
        <w:t xml:space="preserve">Status: </w:t>
      </w:r>
      <w:r>
        <w:t>M13 NOT BANKED. M13 preserved as diagnostic evidence. M14 prepared for a new full primary ensemble run after authority-derived implementation repair.</w:t>
      </w:r>
    </w:p>
    <w:p>
      <w:pPr>
        <w:pStyle w:val="Heading1"/>
      </w:pPr>
      <w:r>
        <w:t>1. Scope and Methodological Constraint</w:t>
      </w:r>
    </w:p>
    <w:p>
      <w:r>
        <w:t>This audit continues the M13 pre-banking review. It does not reopen M12, which remains the first banked hard benchmark, and it does not alter the M13 customer-exit calibration.</w:t>
      </w:r>
    </w:p>
    <w:p>
      <w:r>
        <w:t>The governing rule for this repair is outcome-blind: implementation changes must follow frozen benchmark authority or an explicit prospective closure where integer/computational semantics were not fully specified. No observed M13 comparative result was used to select a threshold, probability, controller parameter, horizon, or desired direction of effect.</w:t>
      </w:r>
    </w:p>
    <w:p>
      <w:r>
        <w:t>The P16 horizon is unchanged. End-horizon customer collapse is handled only as a reporting/censoring distinction.</w:t>
      </w:r>
    </w:p>
    <w:p>
      <w:pPr>
        <w:pStyle w:val="Heading1"/>
      </w:pPr>
      <w:r>
        <w:t>2. D10 — Major Field-Quality Event Defect</w:t>
      </w:r>
    </w:p>
    <w:p>
      <w:r>
        <w:rPr>
          <w:b/>
        </w:rPr>
        <w:t>Finding: CONFIRMED IMPLEMENTATION DEFECT (D10).</w:t>
      </w:r>
    </w:p>
    <w:p>
      <w:r>
        <w:t>Frozen authority states that a major field event is tied to at least four attributable failures in a rolling delivered cohort, and the controlling handoff specifies the cohort as a rolling two-week delivered cohort. The M13 implementation instead collected failures whose due date was less than or equal to the current period, removed them from the queue, and tested the threshold against the number processed in that current period.</w:t>
      </w:r>
    </w:p>
    <w:p>
      <w:r>
        <w:t>That is not equivalent. It can miss four failures attributable to adjacent delivery weeks when those failures become observable in different later periods. It can also combine failures merely because they become due in the same period even when their attributable delivery weeks do not form the required rolling two-week cohort.</w:t>
      </w:r>
    </w:p>
    <w:p>
      <w:pPr>
        <w:pStyle w:val="Heading1"/>
      </w:pPr>
      <w:r>
        <w:t>3. Correct Authority-Derived D10 Semantics</w:t>
      </w:r>
    </w:p>
    <w:tbl>
      <w:tblPr>
        <w:tblStyle w:val="TableGrid"/>
        <w:tblW w:type="auto" w:w="0"/>
        <w:jc w:val="center"/>
        <w:tblLook w:firstColumn="1" w:firstRow="1" w:lastColumn="0" w:lastRow="0" w:noHBand="0" w:noVBand="1" w:val="04A0"/>
      </w:tblPr>
      <w:tblGrid>
        <w:gridCol w:w="4968"/>
        <w:gridCol w:w="4968"/>
      </w:tblGrid>
      <w:tr>
        <w:tc>
          <w:tcPr>
            <w:tcW w:type="dxa" w:w="4968"/>
            <w:vAlign w:val="top"/>
          </w:tcPr>
          <w:p>
            <w:r>
              <w:t>Element</w:t>
            </w:r>
          </w:p>
        </w:tc>
        <w:tc>
          <w:tcPr>
            <w:tcW w:type="dxa" w:w="4968"/>
            <w:vAlign w:val="top"/>
          </w:tcPr>
          <w:p>
            <w:r>
              <w:t>M14 semantics</w:t>
            </w:r>
          </w:p>
        </w:tc>
      </w:tr>
      <w:tr>
        <w:tc>
          <w:tcPr>
            <w:tcW w:type="dxa" w:w="4968"/>
            <w:vAlign w:val="top"/>
          </w:tcPr>
          <w:p>
            <w:r>
              <w:t>Attribution key</w:t>
            </w:r>
          </w:p>
        </w:tc>
        <w:tc>
          <w:tcPr>
            <w:tcW w:type="dxa" w:w="4968"/>
            <w:vAlign w:val="top"/>
          </w:tcPr>
          <w:p>
            <w:r>
              <w:t>Each field failure retains the stable physical board identity and the period in which that board was actually delivered to C.</w:t>
            </w:r>
          </w:p>
        </w:tc>
      </w:tr>
      <w:tr>
        <w:tc>
          <w:tcPr>
            <w:tcW w:type="dxa" w:w="4968"/>
            <w:vAlign w:val="top"/>
          </w:tcPr>
          <w:p>
            <w:r>
              <w:t>Observation timing</w:t>
            </w:r>
          </w:p>
        </w:tc>
        <w:tc>
          <w:tcPr>
            <w:tcW w:type="dxa" w:w="4968"/>
            <w:vAlign w:val="top"/>
          </w:tcPr>
          <w:p>
            <w:r>
              <w:t>A queued future failure is not counted before it becomes due/observed. The repair does not anticipate hidden future failures.</w:t>
            </w:r>
          </w:p>
        </w:tc>
      </w:tr>
      <w:tr>
        <w:tc>
          <w:tcPr>
            <w:tcW w:type="dxa" w:w="4968"/>
            <w:vAlign w:val="top"/>
          </w:tcPr>
          <w:p>
            <w:r>
              <w:t>Cohort rule</w:t>
            </w:r>
          </w:p>
        </w:tc>
        <w:tc>
          <w:tcPr>
            <w:tcW w:type="dxa" w:w="4968"/>
            <w:vAlign w:val="top"/>
          </w:tcPr>
          <w:p>
            <w:r>
              <w:t>At each observation step, failures are counted by two adjacent delivery periods. The threshold is evaluated on attributable failures in that rolling two-period delivery window, not on the current due/processing period.</w:t>
            </w:r>
          </w:p>
        </w:tc>
      </w:tr>
      <w:tr>
        <w:tc>
          <w:tcPr>
            <w:tcW w:type="dxa" w:w="4968"/>
            <w:vAlign w:val="top"/>
          </w:tcPr>
          <w:p>
            <w:r>
              <w:t>Threshold</w:t>
            </w:r>
          </w:p>
        </w:tc>
        <w:tc>
          <w:tcPr>
            <w:tcW w:type="dxa" w:w="4968"/>
            <w:vAlign w:val="top"/>
          </w:tcPr>
          <w:p>
            <w:r>
              <w:t>The frozen threshold remains four. No replacement threshold was introduced.</w:t>
            </w:r>
          </w:p>
        </w:tc>
      </w:tr>
      <w:tr>
        <w:tc>
          <w:tcPr>
            <w:tcW w:type="dxa" w:w="4968"/>
            <w:vAlign w:val="top"/>
          </w:tcPr>
          <w:p>
            <w:r>
              <w:t>One trigger per window</w:t>
            </w:r>
          </w:p>
        </w:tc>
        <w:tc>
          <w:tcPr>
            <w:tcW w:type="dxa" w:w="4968"/>
            <w:vAlign w:val="top"/>
          </w:tcPr>
          <w:p>
            <w:r>
              <w:t>Once a specific two-period delivery window has crossed the threshold and generated its major event, the same window is recorded so it does not generate the same event again on every later processing period.</w:t>
            </w:r>
          </w:p>
        </w:tc>
      </w:tr>
      <w:tr>
        <w:tc>
          <w:tcPr>
            <w:tcW w:type="dxa" w:w="4968"/>
            <w:vAlign w:val="top"/>
          </w:tcPr>
          <w:p>
            <w:r>
              <w:t>Downstream timing</w:t>
            </w:r>
          </w:p>
        </w:tc>
        <w:tc>
          <w:tcPr>
            <w:tcW w:type="dxa" w:w="4968"/>
            <w:vAlign w:val="top"/>
          </w:tcPr>
          <w:p>
            <w:r>
              <w:t>Test-PP, covenant/headroom, and customer-quality-pressure consequences occur when the major event becomes observable. No consequence is applied retroactively to the original delivery period.</w:t>
            </w:r>
          </w:p>
        </w:tc>
      </w:tr>
    </w:tbl>
    <w:p>
      <w:r>
        <w:t>Conformance fixtures now require: (a) 2 + 2 observed failures attributable to adjacent delivery periods trigger one major field event even when the failures become due in separate periods; and (b) four same-period due failures attributable to nonadjacent delivery periods do not satisfy D10.</w:t>
      </w:r>
    </w:p>
    <w:p>
      <w:pPr>
        <w:pStyle w:val="Heading1"/>
      </w:pPr>
      <w:r>
        <w:t>4. Related Quality/CRN Audit Findings</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top"/>
          </w:tcPr>
          <w:p>
            <w:r>
              <w:t>Issue</w:t>
            </w:r>
          </w:p>
        </w:tc>
        <w:tc>
          <w:tcPr>
            <w:tcW w:type="dxa" w:w="3312"/>
            <w:vAlign w:val="top"/>
          </w:tcPr>
          <w:p>
            <w:r>
              <w:t>Audit status</w:t>
            </w:r>
          </w:p>
        </w:tc>
        <w:tc>
          <w:tcPr>
            <w:tcW w:type="dxa" w:w="3312"/>
            <w:vAlign w:val="top"/>
          </w:tcPr>
          <w:p>
            <w:r>
              <w:t>Disposition</w:t>
            </w:r>
          </w:p>
        </w:tc>
      </w:tr>
      <w:tr>
        <w:tc>
          <w:tcPr>
            <w:tcW w:type="dxa" w:w="3312"/>
            <w:vAlign w:val="top"/>
          </w:tcPr>
          <w:p>
            <w:r>
              <w:t>Incoming inspection sampling</w:t>
            </w:r>
          </w:p>
        </w:tc>
        <w:tc>
          <w:tcPr>
            <w:tcW w:type="dxa" w:w="3312"/>
            <w:vAlign w:val="top"/>
          </w:tcPr>
          <w:p>
            <w:r>
              <w:t>DEFECT CONFIRMED</w:t>
            </w:r>
          </w:p>
        </w:tc>
        <w:tc>
          <w:tcPr>
            <w:tcW w:type="dxa" w:w="3312"/>
            <w:vAlign w:val="top"/>
          </w:tcPr>
          <w:p>
            <w:r>
              <w:t>M13 sampled board indices 0..k-1. Frozen authority requires random sampling. M14 assigns each stable board an event-keyed random rank and takes the first k, producing a uniform sample without replacement and excluding controller/regime identifiers.</w:t>
            </w:r>
          </w:p>
        </w:tc>
      </w:tr>
      <w:tr>
        <w:tc>
          <w:tcPr>
            <w:tcW w:type="dxa" w:w="3312"/>
            <w:vAlign w:val="top"/>
          </w:tcPr>
          <w:p>
            <w:r>
              <w:t>Sample-size rounding</w:t>
            </w:r>
          </w:p>
        </w:tc>
        <w:tc>
          <w:tcPr>
            <w:tcW w:type="dxa" w:w="3312"/>
            <w:vAlign w:val="top"/>
          </w:tcPr>
          <w:p>
            <w:r>
              <w:t>IMPLEMENTATION GAP CLOSED PROSPECTIVELY</w:t>
            </w:r>
          </w:p>
        </w:tc>
        <w:tc>
          <w:tcPr>
            <w:tcW w:type="dxa" w:w="3312"/>
            <w:vAlign w:val="top"/>
          </w:tcPr>
          <w:p>
            <w:r>
              <w:t>Frozen authority states percentages and minima but no integer rounding convention. M14 uses the smallest integer sample meeting the stated rate: ceil(rate × units), then applies the frozen minimum and shipment-size cap. This prevents undersampling and introduces no new percentage or threshold.</w:t>
            </w:r>
          </w:p>
        </w:tc>
      </w:tr>
      <w:tr>
        <w:tc>
          <w:tcPr>
            <w:tcW w:type="dxa" w:w="3312"/>
            <w:vAlign w:val="top"/>
          </w:tcPr>
          <w:p>
            <w:r>
              <w:t>Stable board/cohort identity and CRN</w:t>
            </w:r>
          </w:p>
        </w:tc>
        <w:tc>
          <w:tcPr>
            <w:tcW w:type="dxa" w:w="3312"/>
            <w:vAlign w:val="top"/>
          </w:tcPr>
          <w:p>
            <w:r>
              <w:t>DEFECT CONFIRMED</w:t>
            </w:r>
          </w:p>
        </w:tc>
        <w:tc>
          <w:tcPr>
            <w:tcW w:type="dxa" w:w="3312"/>
            <w:vAlign w:val="top"/>
          </w:tcPr>
          <w:p>
            <w:r>
              <w:t>M13 compressed physical boards into provenance counts/cohorts and later keyed field risk to final customer shipment plus ordinal. M14 carries stable physical board IDs through inspection, suspect inventory, rework, FIFO production, finished-goods FIFO, delivery, and field-failure risk. Equivalent physical board events therefore retain common event-keyed draws across regimes.</w:t>
            </w:r>
          </w:p>
        </w:tc>
      </w:tr>
      <w:tr>
        <w:tc>
          <w:tcPr>
            <w:tcW w:type="dxa" w:w="3312"/>
            <w:vAlign w:val="top"/>
          </w:tcPr>
          <w:p>
            <w:r>
              <w:t>q &lt; 35 defect-probability branch</w:t>
            </w:r>
          </w:p>
        </w:tc>
        <w:tc>
          <w:tcPr>
            <w:tcW w:type="dxa" w:w="3312"/>
            <w:vAlign w:val="top"/>
          </w:tcPr>
          <w:p>
            <w:r>
              <w:t>DEFECT CONFIRMED</w:t>
            </w:r>
          </w:p>
        </w:tc>
        <w:tc>
          <w:tcPr>
            <w:tcW w:type="dxa" w:w="3312"/>
            <w:vAlign w:val="top"/>
          </w:tcPr>
          <w:p>
            <w:r>
              <w:t>M13 had an unauthorized 100% latent-defect branch below quality PP 35. The branch was reachable when a valid S1 shipment was delayed while S1 quality deteriorated before receipt. M14 stores quality PP at valid S1 shipment and uses that quality band at receipt. A direct q&lt;35 receipt without a valid shipment-quality record raises a conformance error; no new defect probability is invented.</w:t>
            </w:r>
          </w:p>
        </w:tc>
      </w:tr>
      <w:tr>
        <w:tc>
          <w:tcPr>
            <w:tcW w:type="dxa" w:w="3312"/>
            <w:vAlign w:val="top"/>
          </w:tcPr>
          <w:p>
            <w:r>
              <w:t>Dead legacy rework-failure scheduler</w:t>
            </w:r>
          </w:p>
        </w:tc>
        <w:tc>
          <w:tcPr>
            <w:tcW w:type="dxa" w:w="3312"/>
            <w:vAlign w:val="top"/>
          </w:tcPr>
          <w:p>
            <w:r>
              <w:t>DEAD/CONFLICTING CODE CONFIRMED</w:t>
            </w:r>
          </w:p>
        </w:tc>
        <w:tc>
          <w:tcPr>
            <w:tcW w:type="dxa" w:w="3312"/>
            <w:vAlign w:val="top"/>
          </w:tcPr>
          <w:p>
            <w:r>
              <w:t>The legacy scheduler created delayed rework failures at rework time and was not used by production. One legacy conformance test called it directly. M14 removes the dead method and redirects conformance to the active authority-consistent rule: reworked boards acquire the frozen conditional field-failure risk only when delivered.</w:t>
            </w:r>
          </w:p>
        </w:tc>
      </w:tr>
      <w:tr>
        <w:tc>
          <w:tcPr>
            <w:tcW w:type="dxa" w:w="3312"/>
            <w:vAlign w:val="top"/>
          </w:tcPr>
          <w:p>
            <w:r>
              <w:t>P16 customer-collapse censoring</w:t>
            </w:r>
          </w:p>
        </w:tc>
        <w:tc>
          <w:tcPr>
            <w:tcW w:type="dxa" w:w="3312"/>
            <w:vAlign w:val="top"/>
          </w:tcPr>
          <w:p>
            <w:r>
              <w:t>REPORTING CORRECTION</w:t>
            </w:r>
          </w:p>
        </w:tc>
        <w:tc>
          <w:tcPr>
            <w:tcW w:type="dxa" w:w="3312"/>
            <w:vAlign w:val="top"/>
          </w:tcPr>
          <w:p>
            <w:r>
              <w:t>If C operations PP reaches zero at the end of P16 without a P17 decision opportunity, M14 records customer_business_collapse = true and customer_collapse_right_censored = true while leaving customer_terminated = false. The horizon and controller semantics are unchanged.</w:t>
            </w:r>
          </w:p>
        </w:tc>
      </w:tr>
    </w:tbl>
    <w:p>
      <w:pPr>
        <w:pStyle w:val="Heading1"/>
      </w:pPr>
      <w:r>
        <w:t>5. CRN and Identity Discipline</w:t>
      </w:r>
    </w:p>
    <w:p>
      <w:r>
        <w:t>Frozen authority requires semantic event-keyed common random numbers, particularly for board defects and delayed field failures. Event identity must not contain controller or regime labels.</w:t>
      </w:r>
    </w:p>
    <w:p>
      <w:r>
        <w:t>M14 uses S1 shipment identity plus stable physical board identity for latent-defect and incoming-inspection draws. The inspection sample uses a stable board rank, so larger inspection regimes take a larger prefix of the same event-keyed ordering rather than rerandomizing a different subset.</w:t>
      </w:r>
    </w:p>
    <w:p>
      <w:r>
        <w:t>Field-failure and delay draws are keyed to the stable physical board identity and its risk provenance, not to the board’s ordinal position in a later customer shipment. The final shipment ID remains ledger attribution, but it no longer determines the physical-board random draw.</w:t>
      </w:r>
    </w:p>
    <w:p>
      <w:pPr>
        <w:pStyle w:val="Heading1"/>
      </w:pPr>
      <w:r>
        <w:t>6. What Was Not Changed</w:t>
      </w:r>
    </w:p>
    <w:p>
      <w:pPr>
        <w:pStyle w:val="ListBullet"/>
      </w:pPr>
      <w:r>
        <w:t>M12 evidence and code were not modified.</w:t>
      </w:r>
    </w:p>
    <w:p>
      <w:pPr>
        <w:pStyle w:val="ListBullet"/>
      </w:pPr>
      <w:r>
        <w:t>The M13 no-alternative-supplier customer-exit calibration was not changed.</w:t>
      </w:r>
    </w:p>
    <w:p>
      <w:pPr>
        <w:pStyle w:val="ListBullet"/>
      </w:pPr>
      <w:r>
        <w:t>No quality probability, field-failure probability, delay distribution, inspection sensitivity/specificity, controller weight, action surface, production rule, finance rule, transport rule, qualification rule, recovery rule, or benchmark horizon was changed because of observed M13 results.</w:t>
      </w:r>
    </w:p>
    <w:p>
      <w:pPr>
        <w:pStyle w:val="ListBullet"/>
      </w:pPr>
      <w:r>
        <w:t>M13 production outputs are not included in the clean M14 production-results directory.</w:t>
      </w:r>
    </w:p>
    <w:p>
      <w:pPr>
        <w:pStyle w:val="Heading1"/>
      </w:pPr>
      <w:r>
        <w:t>7. Verification</w:t>
      </w:r>
    </w:p>
    <w:tbl>
      <w:tblPr>
        <w:tblStyle w:val="TableGrid"/>
        <w:tblW w:type="auto" w:w="0"/>
        <w:jc w:val="center"/>
        <w:tblLook w:firstColumn="1" w:firstRow="1" w:lastColumn="0" w:lastRow="0" w:noHBand="0" w:noVBand="1" w:val="04A0"/>
      </w:tblPr>
      <w:tblGrid>
        <w:gridCol w:w="4968"/>
        <w:gridCol w:w="4968"/>
      </w:tblGrid>
      <w:tr>
        <w:tc>
          <w:tcPr>
            <w:tcW w:type="dxa" w:w="4968"/>
          </w:tcPr>
          <w:p>
            <w:r>
              <w:t>Check</w:t>
            </w:r>
          </w:p>
        </w:tc>
        <w:tc>
          <w:tcPr>
            <w:tcW w:type="dxa" w:w="4968"/>
          </w:tcPr>
          <w:p>
            <w:r>
              <w:t>Result</w:t>
            </w:r>
          </w:p>
        </w:tc>
      </w:tr>
      <w:tr>
        <w:tc>
          <w:tcPr>
            <w:tcW w:type="dxa" w:w="4968"/>
          </w:tcPr>
          <w:p>
            <w:r>
              <w:t>Conformance</w:t>
            </w:r>
          </w:p>
        </w:tc>
        <w:tc>
          <w:tcPr>
            <w:tcW w:type="dxa" w:w="4968"/>
          </w:tcPr>
          <w:p>
            <w:r>
              <w:t>128/128 PASS</w:t>
            </w:r>
          </w:p>
        </w:tc>
      </w:tr>
      <w:tr>
        <w:tc>
          <w:tcPr>
            <w:tcW w:type="dxa" w:w="4968"/>
          </w:tcPr>
          <w:p>
            <w:r>
              <w:t>Production readiness</w:t>
            </w:r>
          </w:p>
        </w:tc>
        <w:tc>
          <w:tcPr>
            <w:tcW w:type="dxa" w:w="4968"/>
          </w:tcPr>
          <w:p>
            <w:r>
              <w:t>40/40 PASS</w:t>
            </w:r>
          </w:p>
        </w:tc>
      </w:tr>
      <w:tr>
        <w:tc>
          <w:tcPr>
            <w:tcW w:type="dxa" w:w="4968"/>
          </w:tcPr>
          <w:p>
            <w:r>
              <w:t>A/B root action-surface parity</w:t>
            </w:r>
          </w:p>
        </w:tc>
        <w:tc>
          <w:tcPr>
            <w:tcW w:type="dxa" w:w="4968"/>
          </w:tcPr>
          <w:p>
            <w:r>
              <w:t>100%</w:t>
            </w:r>
          </w:p>
        </w:tc>
      </w:tr>
      <w:tr>
        <w:tc>
          <w:tcPr>
            <w:tcW w:type="dxa" w:w="4968"/>
          </w:tcPr>
          <w:p>
            <w:r>
              <w:t>Maximum transition evaluations</w:t>
            </w:r>
          </w:p>
        </w:tc>
        <w:tc>
          <w:tcPr>
            <w:tcW w:type="dxa" w:w="4968"/>
          </w:tcPr>
          <w:p>
            <w:r>
              <w:t>9600 / 10000</w:t>
            </w:r>
          </w:p>
        </w:tc>
      </w:tr>
      <w:tr>
        <w:tc>
          <w:tcPr>
            <w:tcW w:type="dxa" w:w="4968"/>
          </w:tcPr>
          <w:p>
            <w:r>
              <w:t>Production-path smoke</w:t>
            </w:r>
          </w:p>
        </w:tc>
        <w:tc>
          <w:tcPr>
            <w:tcW w:type="dxa" w:w="4968"/>
          </w:tcPr>
          <w:p>
            <w:r>
              <w:t>2 seeds × 7 regimes completed without failure; smoke outputs removed from clean build</w:t>
            </w:r>
          </w:p>
        </w:tc>
      </w:tr>
    </w:tbl>
    <w:p>
      <w:pPr>
        <w:pStyle w:val="Heading1"/>
      </w:pPr>
      <w:r>
        <w:t>8. Code-Hash Record</w:t>
      </w:r>
    </w:p>
    <w:tbl>
      <w:tblPr>
        <w:tblStyle w:val="TableGrid"/>
        <w:tblW w:type="auto" w:w="0"/>
        <w:jc w:val="center"/>
        <w:tblLook w:firstColumn="1" w:firstRow="1" w:lastColumn="0" w:lastRow="0" w:noHBand="0" w:noVBand="1" w:val="04A0"/>
      </w:tblPr>
      <w:tblGrid>
        <w:gridCol w:w="4968"/>
        <w:gridCol w:w="4968"/>
      </w:tblGrid>
      <w:tr>
        <w:tc>
          <w:tcPr>
            <w:tcW w:type="dxa" w:w="4968"/>
          </w:tcPr>
          <w:p>
            <w:r>
              <w:t>Artifact</w:t>
            </w:r>
          </w:p>
        </w:tc>
        <w:tc>
          <w:tcPr>
            <w:tcW w:type="dxa" w:w="4968"/>
          </w:tcPr>
          <w:p>
            <w:r>
              <w:t>SHA-256</w:t>
            </w:r>
          </w:p>
        </w:tc>
      </w:tr>
      <w:tr>
        <w:tc>
          <w:tcPr>
            <w:tcW w:type="dxa" w:w="4968"/>
          </w:tcPr>
          <w:p>
            <w:r>
              <w:t>M13 engine.py</w:t>
            </w:r>
          </w:p>
        </w:tc>
        <w:tc>
          <w:tcPr>
            <w:tcW w:type="dxa" w:w="4968"/>
          </w:tcPr>
          <w:p>
            <w:r>
              <w:rPr>
                <w:rFonts w:ascii="Courier New" w:hAnsi="Courier New"/>
                <w:sz w:val="15"/>
              </w:rPr>
              <w:t>b24f624fc83e294eb013984937c36362d990c1cf6fcfb7841e94ff8a7177252c</w:t>
            </w:r>
          </w:p>
        </w:tc>
      </w:tr>
      <w:tr>
        <w:tc>
          <w:tcPr>
            <w:tcW w:type="dxa" w:w="4968"/>
          </w:tcPr>
          <w:p>
            <w:r>
              <w:t>M14 engine.py</w:t>
            </w:r>
          </w:p>
        </w:tc>
        <w:tc>
          <w:tcPr>
            <w:tcW w:type="dxa" w:w="4968"/>
          </w:tcPr>
          <w:p>
            <w:r>
              <w:rPr>
                <w:rFonts w:ascii="Courier New" w:hAnsi="Courier New"/>
                <w:sz w:val="15"/>
              </w:rPr>
              <w:t>3a88b8f88b29d750b092210facb6d0aef3643ce5830c3643fa9617f21bf7acf1</w:t>
            </w:r>
          </w:p>
        </w:tc>
      </w:tr>
      <w:tr>
        <w:tc>
          <w:tcPr>
            <w:tcW w:type="dxa" w:w="4968"/>
          </w:tcPr>
          <w:p>
            <w:r>
              <w:t>M13 world.py</w:t>
            </w:r>
          </w:p>
        </w:tc>
        <w:tc>
          <w:tcPr>
            <w:tcW w:type="dxa" w:w="4968"/>
          </w:tcPr>
          <w:p>
            <w:r>
              <w:rPr>
                <w:rFonts w:ascii="Courier New" w:hAnsi="Courier New"/>
                <w:sz w:val="15"/>
              </w:rPr>
              <w:t>894113e1c1fd23c8bd5e23d613103771263ac7e8307cdf7a29546e615b3b6b7c</w:t>
            </w:r>
          </w:p>
        </w:tc>
      </w:tr>
      <w:tr>
        <w:tc>
          <w:tcPr>
            <w:tcW w:type="dxa" w:w="4968"/>
          </w:tcPr>
          <w:p>
            <w:r>
              <w:t>M14 world.py</w:t>
            </w:r>
          </w:p>
        </w:tc>
        <w:tc>
          <w:tcPr>
            <w:tcW w:type="dxa" w:w="4968"/>
          </w:tcPr>
          <w:p>
            <w:r>
              <w:rPr>
                <w:rFonts w:ascii="Courier New" w:hAnsi="Courier New"/>
                <w:sz w:val="15"/>
              </w:rPr>
              <w:t>3a1e3c2d1cc5f4787bfcd89abf20491ab79043217c73aa4a0ba8a4ca680823a8</w:t>
            </w:r>
          </w:p>
        </w:tc>
      </w:tr>
      <w:tr>
        <w:tc>
          <w:tcPr>
            <w:tcW w:type="dxa" w:w="4968"/>
          </w:tcPr>
          <w:p>
            <w:r>
              <w:t>M13 outcomes.py</w:t>
            </w:r>
          </w:p>
        </w:tc>
        <w:tc>
          <w:tcPr>
            <w:tcW w:type="dxa" w:w="4968"/>
          </w:tcPr>
          <w:p>
            <w:r>
              <w:rPr>
                <w:rFonts w:ascii="Courier New" w:hAnsi="Courier New"/>
                <w:sz w:val="15"/>
              </w:rPr>
              <w:t>1d1436af4738e07cee1fa18c2bf6f24ea324658aefd6f353b8e320062c6b352b</w:t>
            </w:r>
          </w:p>
        </w:tc>
      </w:tr>
      <w:tr>
        <w:tc>
          <w:tcPr>
            <w:tcW w:type="dxa" w:w="4968"/>
          </w:tcPr>
          <w:p>
            <w:r>
              <w:t>M14 outcomes.py</w:t>
            </w:r>
          </w:p>
        </w:tc>
        <w:tc>
          <w:tcPr>
            <w:tcW w:type="dxa" w:w="4968"/>
          </w:tcPr>
          <w:p>
            <w:r>
              <w:rPr>
                <w:rFonts w:ascii="Courier New" w:hAnsi="Courier New"/>
                <w:sz w:val="15"/>
              </w:rPr>
              <w:t>28537c5d1561fda84a29b3067cdb586eb2081fc692da05234102d7659fa93b85</w:t>
            </w:r>
          </w:p>
        </w:tc>
      </w:tr>
      <w:tr>
        <w:tc>
          <w:tcPr>
            <w:tcW w:type="dxa" w:w="4968"/>
          </w:tcPr>
          <w:p>
            <w:r>
              <w:t>Frozen 1,000-seed list (M14)</w:t>
            </w:r>
          </w:p>
        </w:tc>
        <w:tc>
          <w:tcPr>
            <w:tcW w:type="dxa" w:w="4968"/>
          </w:tcPr>
          <w:p>
            <w:r>
              <w:rPr>
                <w:rFonts w:ascii="Courier New" w:hAnsi="Courier New"/>
                <w:sz w:val="15"/>
              </w:rPr>
              <w:t>45e101bd523c3bcdb50bfcc83c0fbaf083e2d105e82897c9987855cee1aae3b4</w:t>
            </w:r>
          </w:p>
        </w:tc>
      </w:tr>
    </w:tbl>
    <w:p>
      <w:pPr>
        <w:pStyle w:val="Heading1"/>
      </w:pPr>
      <w:r>
        <w:t>9. Disposition</w:t>
      </w:r>
    </w:p>
    <w:p>
      <w:r>
        <w:rPr>
          <w:b/>
        </w:rPr>
        <w:t xml:space="preserve">M13 disposition: </w:t>
      </w:r>
      <w:r>
        <w:t>diagnostic, not banked.</w:t>
      </w:r>
    </w:p>
    <w:p>
      <w:r>
        <w:rPr>
          <w:b/>
        </w:rPr>
        <w:t xml:space="preserve">D10 disposition: </w:t>
      </w:r>
      <w:r>
        <w:t>confirmed and repaired from frozen authority.</w:t>
      </w:r>
    </w:p>
    <w:p>
      <w:r>
        <w:rPr>
          <w:b/>
        </w:rPr>
        <w:t xml:space="preserve">M14 disposition: </w:t>
      </w:r>
      <w:r>
        <w:t>clean candidate build ready for a new 1,000-seed × 7-regime primary production run. M14 is not banked before that run and post-run structural/paired validation.</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color w:val="17365D" w:themeColor="text2" w:themeShade="BF"/>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