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  <w:jc w:val="center"/>
      </w:pPr>
      <w:r>
        <w:t>PV-PP Benchmark V2</w:t>
        <w:br/>
        <w:t>D8 Ordinary Escaped-Defect Field-Risk Fixture Closure</w:t>
      </w:r>
    </w:p>
    <w:p>
      <w:pPr>
        <w:spacing w:after="100"/>
        <w:jc w:val="center"/>
      </w:pPr>
      <w:r>
        <w:rPr>
          <w:b/>
        </w:rPr>
        <w:t>Prospective benchmark formalization - pre-M11</w:t>
      </w:r>
    </w:p>
    <w:p>
      <w:pPr>
        <w:pStyle w:val="Heading1"/>
        <w:spacing w:before="100" w:after="40"/>
      </w:pPr>
      <w:r>
        <w:t>1. Status and purpose</w:t>
      </w:r>
    </w:p>
    <w:p>
      <w:pPr>
        <w:spacing w:after="40"/>
      </w:pPr>
      <w:r>
        <w:rPr>
          <w:b/>
        </w:rPr>
        <w:t xml:space="preserve">Status: PROSPECTIVELY CLOSED FOR M11 IMPLEMENTATION. </w:t>
      </w:r>
      <w:r>
        <w:t>This document closes the narrow D8 gap identified after the M10 D7/D8 quality-pipeline authority audit. It does not reinterpret M10 outcomes and does not tune the benchmark to improve any controller's performance.</w:t>
      </w:r>
    </w:p>
    <w:p>
      <w:pPr>
        <w:spacing w:after="40"/>
      </w:pPr>
      <w:r>
        <w:rPr>
          <w:b/>
        </w:rPr>
        <w:t xml:space="preserve">Scope: </w:t>
      </w:r>
      <w:r>
        <w:t>D8 concerns only the conditional field-failure consequence of an ordinary true S1 latent defect that is not removed by incoming inspection and is later incorporated into a delivered finished unit.</w:t>
      </w:r>
    </w:p>
    <w:p>
      <w:pPr>
        <w:pStyle w:val="Heading1"/>
        <w:spacing w:before="100" w:after="40"/>
      </w:pPr>
      <w:r>
        <w:t>2. Existing frozen structure retained</w:t>
      </w:r>
    </w:p>
    <w:p>
      <w:pPr>
        <w:pStyle w:val="ListBullet"/>
        <w:spacing w:after="0" w:line="240" w:lineRule="auto"/>
      </w:pPr>
      <w:r>
        <w:t>S1 latent defect probability remains quality-band dependent exactly as already frozen.</w:t>
      </w:r>
    </w:p>
    <w:p>
      <w:pPr>
        <w:pStyle w:val="ListBullet"/>
        <w:spacing w:after="0" w:line="240" w:lineRule="auto"/>
      </w:pPr>
      <w:r>
        <w:t>Incoming inspection remains 20% ordinary, 50% enhanced, or 100% full containment, with the existing minimum-sample rules.</w:t>
      </w:r>
    </w:p>
    <w:p>
      <w:pPr>
        <w:pStyle w:val="ListBullet"/>
        <w:spacing w:after="0" w:line="240" w:lineRule="auto"/>
      </w:pPr>
      <w:r>
        <w:t>Inspection sensitivity remains 0.90 and specificity remains 0.99.</w:t>
      </w:r>
    </w:p>
    <w:p>
      <w:pPr>
        <w:pStyle w:val="ListBullet"/>
        <w:spacing w:after="0" w:line="240" w:lineRule="auto"/>
      </w:pPr>
      <w:r>
        <w:t>False-positive boards remain suspect without changing ground truth.</w:t>
      </w:r>
    </w:p>
    <w:p>
      <w:pPr>
        <w:pStyle w:val="ListBullet"/>
        <w:spacing w:after="0" w:line="240" w:lineRule="auto"/>
      </w:pPr>
      <w:r>
        <w:t>True defective boards detected by inspection enter the conserved suspect/reworkable substrate.</w:t>
      </w:r>
    </w:p>
    <w:p>
      <w:pPr>
        <w:pStyle w:val="ListBullet"/>
        <w:spacing w:after="0" w:line="240" w:lineRule="auto"/>
      </w:pPr>
      <w:r>
        <w:t>True defective boards not detected may enter usable production inventory while retaining latent-defect provenance.</w:t>
      </w:r>
    </w:p>
    <w:p>
      <w:pPr>
        <w:pStyle w:val="ListBullet"/>
        <w:spacing w:after="0" w:line="240" w:lineRule="auto"/>
      </w:pPr>
      <w:r>
        <w:t>Shortcut-reworked boards retain the frozen 8% conditional field-failure probability.</w:t>
      </w:r>
    </w:p>
    <w:p>
      <w:pPr>
        <w:pStyle w:val="ListBullet"/>
        <w:spacing w:after="0" w:line="240" w:lineRule="auto"/>
      </w:pPr>
      <w:r>
        <w:t>Full-reworked boards retain the frozen 1.5% conditional field-failure probability.</w:t>
      </w:r>
    </w:p>
    <w:p>
      <w:pPr>
        <w:pStyle w:val="ListBullet"/>
        <w:spacing w:after="0" w:line="240" w:lineRule="auto"/>
      </w:pPr>
      <w:r>
        <w:t>All field-failure delays remain 2, 3, or 4 periods using semantic event-keyed common random numbers.</w:t>
      </w:r>
    </w:p>
    <w:p>
      <w:pPr>
        <w:pStyle w:val="Heading1"/>
        <w:spacing w:before="100" w:after="40"/>
      </w:pPr>
      <w:r>
        <w:t>3. D8 primary fixture</w:t>
      </w:r>
    </w:p>
    <w:p>
      <w:pPr>
        <w:spacing w:after="40"/>
      </w:pPr>
      <w:r>
        <w:rPr>
          <w:b/>
        </w:rPr>
        <w:t>Primary M11 value: P(field failure | ordinary escaped true S1 defect enters a delivered unit) = 0.20.</w:t>
      </w:r>
    </w:p>
    <w:p>
      <w:pPr>
        <w:spacing w:after="40"/>
      </w:pPr>
      <w:r>
        <w:rPr>
          <w:b/>
        </w:rPr>
        <w:t xml:space="preserve">Interpretation: </w:t>
      </w:r>
      <w:r>
        <w:t>An unremediated board known in Layer-1 ground truth to be defective is not assumed to fail with certainty, but it carries materially larger field risk than either reworked pathway. A 20% conditional failure rate preserves the ordering that full rework is safest, shortcut rework carries residual risk, and an unreworked true defect is highest-risk.</w:t>
      </w:r>
    </w:p>
    <w:p>
      <w:pPr>
        <w:spacing w:after="40"/>
      </w:pPr>
      <w:r>
        <w:rPr>
          <w:b/>
        </w:rPr>
        <w:t xml:space="preserve">Why 20% rather than 8%, 1.5%, or 100%: </w:t>
      </w:r>
      <w:r>
        <w:t>The 8% and 1.5% figures are attached to distinct rework transformations and must not be recycled as untreated-defect probabilities. Certainty would collapse latent defect into guaranteed field failure. Twenty percent is a conservative round engineering fixture that makes untreated true defects materially dangerous without making every escaped defect automatically catastrophic.</w:t>
      </w:r>
    </w:p>
    <w:p>
      <w:pPr>
        <w:pStyle w:val="Heading1"/>
        <w:spacing w:before="100" w:after="40"/>
      </w:pPr>
      <w:r>
        <w:t>4. Outcome-blindness rule</w:t>
      </w:r>
    </w:p>
    <w:p>
      <w:pPr>
        <w:pStyle w:val="ListBullet"/>
        <w:spacing w:after="0" w:line="240" w:lineRule="auto"/>
      </w:pPr>
      <w:r>
        <w:t>The 20% value is fixed before any M11 primary comparative outcome is generated or inspected.</w:t>
      </w:r>
    </w:p>
    <w:p>
      <w:pPr>
        <w:pStyle w:val="ListBullet"/>
        <w:spacing w:after="0" w:line="240" w:lineRule="auto"/>
      </w:pPr>
      <w:r>
        <w:t>M8-M10 comparative performance must not be used to revise the value.</w:t>
      </w:r>
    </w:p>
    <w:p>
      <w:pPr>
        <w:pStyle w:val="ListBullet"/>
        <w:spacing w:after="0" w:line="240" w:lineRule="auto"/>
      </w:pPr>
      <w:r>
        <w:t>The same value applies identically in A, B0-B4, and C.</w:t>
      </w:r>
    </w:p>
    <w:p>
      <w:pPr>
        <w:pStyle w:val="ListBullet"/>
        <w:spacing w:after="0" w:line="240" w:lineRule="auto"/>
      </w:pPr>
      <w:r>
        <w:t>Event identities exclude controller/regime labels so paired regimes receive common random numbers for the same physical board event.</w:t>
      </w:r>
    </w:p>
    <w:p>
      <w:pPr>
        <w:pStyle w:val="ListBullet"/>
        <w:spacing w:after="0" w:line="240" w:lineRule="auto"/>
      </w:pPr>
      <w:r>
        <w:t>If M11 produces surprising or unfavorable results, the primary fixture remains 20%; any later alternative is a separately labeled sensitivity run, not a replacement primary.</w:t>
      </w:r>
    </w:p>
    <w:p>
      <w:pPr>
        <w:pStyle w:val="Heading1"/>
        <w:spacing w:before="100" w:after="40"/>
      </w:pPr>
      <w:r>
        <w:t>5. Pre-registered sensitivity values</w:t>
      </w:r>
    </w:p>
    <w:p>
      <w:pPr>
        <w:spacing w:after="40"/>
      </w:pPr>
      <w:r>
        <w:t>Two secondary sensitivity values are registered before M11 primary execution: 0.10 and 0.30. They are not tuning targets and are not part of the primary run.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Fixture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Conditional probability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Use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Low-risk sensitivity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0.10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Secondary robustness only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Primary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0.20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M11 authoritative benchmark fixture</w:t>
            </w:r>
          </w:p>
        </w:tc>
      </w:tr>
      <w:tr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High-risk sensitivity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0.30</w:t>
            </w:r>
          </w:p>
        </w:tc>
        <w:tc>
          <w:tcPr>
            <w:tcW w:type="dxa" w:w="3427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Secondary robustness only</w:t>
            </w:r>
          </w:p>
        </w:tc>
      </w:tr>
    </w:tbl>
    <w:p>
      <w:pPr>
        <w:pStyle w:val="Heading1"/>
        <w:spacing w:before="100" w:after="40"/>
      </w:pPr>
      <w:r>
        <w:t>6. Required M11 implementation semantics</w:t>
      </w:r>
    </w:p>
    <w:p>
      <w:pPr>
        <w:pStyle w:val="ListBullet"/>
        <w:spacing w:after="0" w:line="240" w:lineRule="auto"/>
      </w:pPr>
      <w:r>
        <w:t>Each arriving S1 board receives stable Layer-1 provenance distinguishing nondefective, ordinary latent-defective, shortcut-reworked, and full-reworked states.</w:t>
      </w:r>
    </w:p>
    <w:p>
      <w:pPr>
        <w:pStyle w:val="ListBullet"/>
        <w:spacing w:after="0" w:line="240" w:lineRule="auto"/>
      </w:pPr>
      <w:r>
        <w:t>Incoming inspection samples the frozen fraction and applies the 0.90/0.99 test characteristics.</w:t>
      </w:r>
    </w:p>
    <w:p>
      <w:pPr>
        <w:pStyle w:val="ListBullet"/>
        <w:spacing w:after="0" w:line="240" w:lineRule="auto"/>
      </w:pPr>
      <w:r>
        <w:t>Detected suspect boards leave ordinary usable inventory and enter a conserved suspect/reworkable pool.</w:t>
      </w:r>
    </w:p>
    <w:p>
      <w:pPr>
        <w:pStyle w:val="ListBullet"/>
        <w:spacing w:after="0" w:line="240" w:lineRule="auto"/>
      </w:pPr>
      <w:r>
        <w:t>Rework is unavailable above current suspect quantity and consumes suspect stock one-for-one.</w:t>
      </w:r>
    </w:p>
    <w:p>
      <w:pPr>
        <w:pStyle w:val="ListBullet"/>
        <w:spacing w:after="0" w:line="240" w:lineRule="auto"/>
      </w:pPr>
      <w:r>
        <w:t>Shortcut output is usable in-period; full-rework output becomes usable only after the frozen one-period delay; provenance is retained.</w:t>
      </w:r>
    </w:p>
    <w:p>
      <w:pPr>
        <w:pStyle w:val="ListBullet"/>
        <w:spacing w:after="0" w:line="240" w:lineRule="auto"/>
      </w:pPr>
      <w:r>
        <w:t>Ordinary latent-defective boards that escape inspection remain traceable through production into finished inventory.</w:t>
      </w:r>
    </w:p>
    <w:p>
      <w:pPr>
        <w:pStyle w:val="ListBullet"/>
        <w:spacing w:after="0" w:line="240" w:lineRule="auto"/>
      </w:pPr>
      <w:r>
        <w:t>A field-failure draw occurs only when a risk-bearing board becomes part of a delivered finished unit.</w:t>
      </w:r>
    </w:p>
    <w:p>
      <w:pPr>
        <w:pStyle w:val="ListBullet"/>
        <w:spacing w:after="0" w:line="240" w:lineRule="auto"/>
      </w:pPr>
      <w:r>
        <w:t>Ordinary escaped true defects use p=0.20; shortcut p=0.08; full rework p=0.015.</w:t>
      </w:r>
    </w:p>
    <w:p>
      <w:pPr>
        <w:pStyle w:val="ListBullet"/>
        <w:spacing w:after="0" w:line="240" w:lineRule="auto"/>
      </w:pPr>
      <w:r>
        <w:t>Field-failure consequences and 2-4 period delays remain governed by the already-frozen field-event mechanism.</w:t>
      </w:r>
    </w:p>
    <w:p>
      <w:pPr>
        <w:pStyle w:val="Heading1"/>
        <w:spacing w:before="100" w:after="40"/>
      </w:pPr>
      <w:r>
        <w:t>7. M11 pre-execution test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ID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Test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Pass condition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Q1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Defect generation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Quality-band defect frequencies use stable semantic event keys.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Q2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Inspection conservation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Sampling partitions boards into accepted/suspect states without creating/deleting boards.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Q3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Sensitivity/specificity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TP, FN, FP, and TN paths are reachable and correctly classified.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Q4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Rework substrate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rework with zero suspect stock; rework consumes suspect stock one-for-one.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Q5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Rework timing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Shortcut immediate; full rework exactly one period later.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Q6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Provenance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Risk class survives inspection/rework/production/finished-inventory transitions.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Q7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Delivery-triggered risk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field draw before delivery; each delivered risk-bearing board creates exactly one draw.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Q8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D8 probability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Ordinary escaped p=0.20; shortcut p=0.08; full rework p=0.015.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Q9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CRN identity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Equivalent physical board events share event-keyed draws across A/B/C.</w:t>
            </w:r>
          </w:p>
        </w:tc>
      </w:tr>
      <w:tr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Q10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No primary outcomes</w:t>
            </w:r>
          </w:p>
        </w:tc>
        <w:tc>
          <w:tcPr>
            <w:tcW w:type="dxa" w:w="3427"/>
            <w:vAlign w:val="top"/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Readiness testing completes without M11 primary comparative results.</w:t>
            </w:r>
          </w:p>
        </w:tc>
      </w:tr>
    </w:tbl>
    <w:p>
      <w:pPr>
        <w:pStyle w:val="Heading1"/>
        <w:spacing w:before="100" w:after="40"/>
      </w:pPr>
      <w:r>
        <w:t>8. Authorization</w:t>
      </w:r>
    </w:p>
    <w:p>
      <w:pPr>
        <w:spacing w:after="40"/>
      </w:pPr>
      <w:r>
        <w:rPr>
          <w:b/>
        </w:rPr>
        <w:t xml:space="preserve">D8 semantic closure: AUTHORIZED. </w:t>
      </w:r>
      <w:r>
        <w:t>M11 code modification may proceed using the 20% primary fixture and the D7 repair defined in the prior quality audit.</w:t>
      </w:r>
    </w:p>
    <w:p>
      <w:pPr>
        <w:spacing w:after="0"/>
      </w:pPr>
      <w:r>
        <w:rPr>
          <w:b/>
        </w:rPr>
        <w:t xml:space="preserve">M11 primary run: NOT YET AUTHORIZED. </w:t>
      </w:r>
      <w:r>
        <w:t>Primary execution remains gated on implementation of the conserved quality/rework/provenance pipeline and successful completion of Q1-Q10 plus the existing production-readiness suite.</w:t>
      </w:r>
    </w:p>
    <w:sectPr w:rsidR="00FC693F" w:rsidRPr="0006063C" w:rsidSect="00034616">
      <w:footerReference w:type="default" r:id="rId9"/>
      <w:pgSz w:w="12240" w:h="15840"/>
      <w:pgMar w:top="792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PV-PP Benchmark V2 - D8 Fixture Closure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