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V2 M9 Recovery-Agreement Execution Audit and v0.15 Anti-Rollover Closure</w:t>
      </w:r>
    </w:p>
    <w:p>
      <w:pPr>
        <w:jc w:val="center"/>
      </w:pPr>
      <w:r>
        <w:rPr>
          <w:i/>
        </w:rPr>
        <w:t>Prospective benchmark-control note — August 2026</w:t>
      </w:r>
    </w:p>
    <w:p>
      <w:pPr>
        <w:pStyle w:val="Heading1"/>
      </w:pPr>
      <w:r>
        <w:t>1. Audit trigger and status</w:t>
      </w:r>
    </w:p>
    <w:p>
      <w:r>
        <w:t>M9 structurally completed 1,000 seeds across seven regimes, but the recovery-agreement execution audit found that the new two-period customer-forbearance corridor could be re-issued in consecutive periods. The M9 comparative outcomes are therefore retained as diagnostic only and are not promoted as final benchmark evidence.</w:t>
      </w:r>
    </w:p>
    <w:p>
      <w:pPr>
        <w:pStyle w:val="Heading1"/>
      </w:pPr>
      <w:r>
        <w:t>2. What executed in M9</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t>A</w:t>
            </w:r>
          </w:p>
        </w:tc>
        <w:tc>
          <w:tcPr>
            <w:tcW w:type="dxa" w:w="5040"/>
            <w:vAlign w:val="center"/>
          </w:tcPr>
          <w:p>
            <w:r>
              <w:t>520 seeds accepted at least one recovery agreement; 846 acceptance events</w:t>
            </w:r>
          </w:p>
        </w:tc>
      </w:tr>
      <w:tr>
        <w:tc>
          <w:tcPr>
            <w:tcW w:type="dxa" w:w="5040"/>
            <w:shd w:fill="E7E6E6"/>
            <w:vAlign w:val="center"/>
          </w:tcPr>
          <w:p>
            <w:r>
              <w:t>B0</w:t>
            </w:r>
          </w:p>
        </w:tc>
        <w:tc>
          <w:tcPr>
            <w:tcW w:type="dxa" w:w="5040"/>
            <w:vAlign w:val="center"/>
          </w:tcPr>
          <w:p>
            <w:r>
              <w:t>5 seeds; 34 acceptance events</w:t>
            </w:r>
          </w:p>
        </w:tc>
      </w:tr>
      <w:tr>
        <w:tc>
          <w:tcPr>
            <w:tcW w:type="dxa" w:w="5040"/>
            <w:shd w:fill="E7E6E6"/>
            <w:vAlign w:val="center"/>
          </w:tcPr>
          <w:p>
            <w:r>
              <w:t>B1</w:t>
            </w:r>
          </w:p>
        </w:tc>
        <w:tc>
          <w:tcPr>
            <w:tcW w:type="dxa" w:w="5040"/>
            <w:vAlign w:val="center"/>
          </w:tcPr>
          <w:p>
            <w:r>
              <w:t>4 seeds; 26 acceptance events</w:t>
            </w:r>
          </w:p>
        </w:tc>
      </w:tr>
      <w:tr>
        <w:tc>
          <w:tcPr>
            <w:tcW w:type="dxa" w:w="5040"/>
            <w:shd w:fill="E7E6E6"/>
            <w:vAlign w:val="center"/>
          </w:tcPr>
          <w:p>
            <w:r>
              <w:t>B2</w:t>
            </w:r>
          </w:p>
        </w:tc>
        <w:tc>
          <w:tcPr>
            <w:tcW w:type="dxa" w:w="5040"/>
            <w:vAlign w:val="center"/>
          </w:tcPr>
          <w:p>
            <w:r>
              <w:t>1 seed; 10 acceptance events</w:t>
            </w:r>
          </w:p>
        </w:tc>
      </w:tr>
      <w:tr>
        <w:tc>
          <w:tcPr>
            <w:tcW w:type="dxa" w:w="5040"/>
            <w:shd w:fill="E7E6E6"/>
            <w:vAlign w:val="center"/>
          </w:tcPr>
          <w:p>
            <w:r>
              <w:t>B3</w:t>
            </w:r>
          </w:p>
        </w:tc>
        <w:tc>
          <w:tcPr>
            <w:tcW w:type="dxa" w:w="5040"/>
            <w:vAlign w:val="center"/>
          </w:tcPr>
          <w:p>
            <w:r>
              <w:t>5 seeds; 34 acceptance events</w:t>
            </w:r>
          </w:p>
        </w:tc>
      </w:tr>
      <w:tr>
        <w:tc>
          <w:tcPr>
            <w:tcW w:type="dxa" w:w="5040"/>
            <w:shd w:fill="E7E6E6"/>
            <w:vAlign w:val="center"/>
          </w:tcPr>
          <w:p>
            <w:r>
              <w:t>B4</w:t>
            </w:r>
          </w:p>
        </w:tc>
        <w:tc>
          <w:tcPr>
            <w:tcW w:type="dxa" w:w="5040"/>
            <w:vAlign w:val="center"/>
          </w:tcPr>
          <w:p>
            <w:r>
              <w:t>1 seed; 10 acceptance events</w:t>
            </w:r>
          </w:p>
        </w:tc>
      </w:tr>
      <w:tr>
        <w:tc>
          <w:tcPr>
            <w:tcW w:type="dxa" w:w="5040"/>
            <w:shd w:fill="E7E6E6"/>
            <w:vAlign w:val="center"/>
          </w:tcPr>
          <w:p>
            <w:r>
              <w:t>C</w:t>
            </w:r>
          </w:p>
        </w:tc>
        <w:tc>
          <w:tcPr>
            <w:tcW w:type="dxa" w:w="5040"/>
            <w:vAlign w:val="center"/>
          </w:tcPr>
          <w:p>
            <w:r>
              <w:t>1 seed; 2 acceptance events</w:t>
            </w:r>
          </w:p>
        </w:tc>
      </w:tr>
    </w:tbl>
    <w:p>
      <w:r>
        <w:t>All observed recovery-agreement proposal responses were acceptances because the proposal generator emitted the agreement only when the frozen 70/80 credibility thresholds were satisfied. A’s repeated acceptance events were concentrated late in the run, especially periods 13–16.</w:t>
      </w:r>
    </w:p>
    <w:p>
      <w:pPr>
        <w:pStyle w:val="Heading1"/>
      </w:pPr>
      <w:r>
        <w:t>3. Defect identified</w:t>
      </w:r>
    </w:p>
    <w:p>
      <w:r>
        <w:t>The v0.14 evidence object itself expired correctly after the acceptance period and the immediately following customer-decision period. However, production could generate a fresh recovery agreement at the next eligible period without checking whether a prior agreement had already been used. This allowed serial renewal and could convert a bounded two-decision exception into rolling forbearance.</w:t>
      </w:r>
    </w:p>
    <w:p>
      <w:r>
        <w:t>That behavior exceeds the approved semantic meaning: a recovery agreement is a narrow opportunity to preserve the relationship while a credible recovery plan is attempted; expiry is intended to return the customer to the ordinary termination rule, not automatically reopen the same exception every period.</w:t>
      </w:r>
    </w:p>
    <w:p>
      <w:pPr>
        <w:pStyle w:val="Heading1"/>
      </w:pPr>
      <w:r>
        <w:t>4. v0.15 prospective closure</w:t>
      </w:r>
    </w:p>
    <w:p>
      <w:r>
        <w:t>For the benchmark primary population, the recovery agreement is now a one-time instrument per customer relationship/run. Once an agreement is accepted, a persistent world-state flag records that the corridor has been used. No later period may issue a replacement recovery agreement. The accepted evidence still protects exactly the acceptance decision period and the immediately following customer-decision period. After that evidence expires, ordinary termination logic applies.</w:t>
      </w:r>
    </w:p>
    <w:p>
      <w:r>
        <w:t>The closure does not change the 70/80 credibility thresholds, customer reserve threshold, rolling strike rule, production capacity, inventories, PP, finance, transport, stochastic events, A/B/C controller objectives, or any other benchmark parameter.</w:t>
      </w:r>
    </w:p>
    <w:p>
      <w:pPr>
        <w:pStyle w:val="Heading1"/>
      </w:pPr>
      <w:r>
        <w:t>5. Verification</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t>Full regression/conformance suite</w:t>
            </w:r>
          </w:p>
        </w:tc>
        <w:tc>
          <w:tcPr>
            <w:tcW w:type="dxa" w:w="5040"/>
            <w:vAlign w:val="center"/>
          </w:tcPr>
          <w:p>
            <w:r>
              <w:t>104/104 PASS</w:t>
            </w:r>
          </w:p>
        </w:tc>
      </w:tr>
      <w:tr>
        <w:tc>
          <w:tcPr>
            <w:tcW w:type="dxa" w:w="5040"/>
            <w:shd w:fill="E7E6E6"/>
            <w:vAlign w:val="center"/>
          </w:tcPr>
          <w:p>
            <w:r>
              <w:t>Dedicated anti-rollover tests</w:t>
            </w:r>
          </w:p>
        </w:tc>
        <w:tc>
          <w:tcPr>
            <w:tcW w:type="dxa" w:w="5040"/>
            <w:vAlign w:val="center"/>
          </w:tcPr>
          <w:p>
            <w:r>
              <w:t>2/2 PASS</w:t>
            </w:r>
          </w:p>
        </w:tc>
      </w:tr>
      <w:tr>
        <w:tc>
          <w:tcPr>
            <w:tcW w:type="dxa" w:w="5040"/>
            <w:shd w:fill="E7E6E6"/>
            <w:vAlign w:val="center"/>
          </w:tcPr>
          <w:p>
            <w:r>
              <w:t>Production-readiness fixtures</w:t>
            </w:r>
          </w:p>
        </w:tc>
        <w:tc>
          <w:tcPr>
            <w:tcW w:type="dxa" w:w="5040"/>
            <w:vAlign w:val="center"/>
          </w:tcPr>
          <w:p>
            <w:r>
              <w:t>40/40 PASS</w:t>
            </w:r>
          </w:p>
        </w:tc>
      </w:tr>
      <w:tr>
        <w:tc>
          <w:tcPr>
            <w:tcW w:type="dxa" w:w="5040"/>
            <w:shd w:fill="E7E6E6"/>
            <w:vAlign w:val="center"/>
          </w:tcPr>
          <w:p>
            <w:r>
              <w:t>A/B0 root action-surface parity</w:t>
            </w:r>
          </w:p>
        </w:tc>
        <w:tc>
          <w:tcPr>
            <w:tcW w:type="dxa" w:w="5040"/>
            <w:vAlign w:val="center"/>
          </w:tcPr>
          <w:p>
            <w:r>
              <w:t>100%</w:t>
            </w:r>
          </w:p>
        </w:tc>
      </w:tr>
      <w:tr>
        <w:tc>
          <w:tcPr>
            <w:tcW w:type="dxa" w:w="5040"/>
            <w:shd w:fill="E7E6E6"/>
            <w:vAlign w:val="center"/>
          </w:tcPr>
          <w:p>
            <w:r>
              <w:t>Maximum transition evaluations</w:t>
            </w:r>
          </w:p>
        </w:tc>
        <w:tc>
          <w:tcPr>
            <w:tcW w:type="dxa" w:w="5040"/>
            <w:vAlign w:val="center"/>
          </w:tcPr>
          <w:p>
            <w:r>
              <w:t>9,664 / 10,000</w:t>
            </w:r>
          </w:p>
        </w:tc>
      </w:tr>
      <w:tr>
        <w:tc>
          <w:tcPr>
            <w:tcW w:type="dxa" w:w="5040"/>
            <w:shd w:fill="E7E6E6"/>
            <w:vAlign w:val="center"/>
          </w:tcPr>
          <w:p>
            <w:r>
              <w:t>Primary outcomes during readiness</w:t>
            </w:r>
          </w:p>
        </w:tc>
        <w:tc>
          <w:tcPr>
            <w:tcW w:type="dxa" w:w="5040"/>
            <w:vAlign w:val="center"/>
          </w:tcPr>
          <w:p>
            <w:r>
              <w:t>None</w:t>
            </w:r>
          </w:p>
        </w:tc>
      </w:tr>
    </w:tbl>
    <w:p>
      <w:pPr>
        <w:pStyle w:val="Heading1"/>
      </w:pPr>
      <w:r>
        <w:t>6. Disposition</w:t>
      </w:r>
    </w:p>
    <w:p>
      <w:r>
        <w:t>M9 remains a valid diagnostic showing that the previously unreachable recovery corridor materially affects outcomes, but its comparative result cannot be treated as final because serial renewal was broader than the approved semantics. M10 is the first execution candidate incorporating the one-time anti-rollover closure. M10 must be run on the unchanged frozen 1,000-seed prefix across A, B0–B4, and C before comparative interpretation resumes.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