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PV-PP V2 — Non-M Action Formalization Gate v0.1</w:t>
      </w:r>
    </w:p>
    <w:p>
      <w:pPr>
        <w:jc w:val="center"/>
      </w:pPr>
      <w:r>
        <w:rPr>
          <w:i/>
        </w:rPr>
        <w:t>Prospective closure requirements before the next execution 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OPEN — REQUIRED BEFORE EXECUTION</w:t>
            </w:r>
          </w:p>
        </w:tc>
      </w:tr>
      <w:tr>
        <w:tc>
          <w:tcPr>
            <w:tcW w:type="dxa" w:w="5040"/>
          </w:tcPr>
          <w:p>
            <w:r>
              <w:t>Source authority</w:t>
            </w:r>
          </w:p>
        </w:tc>
        <w:tc>
          <w:tcPr>
            <w:tcW w:type="dxa" w:w="5040"/>
          </w:tcPr>
          <w:p>
            <w:r>
              <w:t>Actions_Events_v04.docx; Controllers_v05.docx; later frozen addenda where applicable</w:t>
            </w:r>
          </w:p>
        </w:tc>
      </w:tr>
      <w:tr>
        <w:tc>
          <w:tcPr>
            <w:tcW w:type="dxa" w:w="5040"/>
          </w:tcPr>
          <w:p>
            <w:r>
              <w:t>Affected roles</w:t>
            </w:r>
          </w:p>
        </w:tc>
        <w:tc>
          <w:tcPr>
            <w:tcW w:type="dxa" w:w="5040"/>
          </w:tcPr>
          <w:p>
            <w:r>
              <w:t>S1 and S2 primarily</w:t>
            </w:r>
          </w:p>
        </w:tc>
      </w:tr>
      <w:tr>
        <w:tc>
          <w:tcPr>
            <w:tcW w:type="dxa" w:w="5040"/>
          </w:tcPr>
          <w:p>
            <w:r>
              <w:t>Design rule</w:t>
            </w:r>
          </w:p>
        </w:tc>
        <w:tc>
          <w:tcPr>
            <w:tcW w:type="dxa" w:w="5040"/>
          </w:tcPr>
          <w:p>
            <w:r>
              <w:t>No M6 comparative outcome may inform closure</w:t>
            </w:r>
          </w:p>
        </w:tc>
      </w:tr>
    </w:tbl>
    <w:p/>
    <w:p>
      <w:pPr>
        <w:pStyle w:val="Heading1"/>
      </w:pPr>
      <w:r>
        <w:t>1. Why this gate exists</w:t>
      </w:r>
    </w:p>
    <w:p>
      <w:r>
        <w:t>The benchmark requires the same legitimate world-side action surface to be available to A, B, and C before regime-specific pruning. A nominal enum entry is insufficient: a family must have a typed feasible action, executable transformation or proposal semantics, and a controller-reachable path in at least one legitimate fixture state.</w:t>
      </w:r>
    </w:p>
    <w:p>
      <w:pPr>
        <w:pStyle w:val="Heading1"/>
      </w:pPr>
      <w:r>
        <w:t>2. S1 closure items</w:t>
      </w:r>
    </w:p>
    <w:p>
      <w:pPr>
        <w:pStyle w:val="ListBullet"/>
      </w:pPr>
      <w:r>
        <w:t>S1-PRODUCE — freeze quantity parameterization, inventory accounting, and interaction with the one-physical-action slot and same-period shipment.</w:t>
      </w:r>
    </w:p>
    <w:p>
      <w:pPr>
        <w:pStyle w:val="ListBullet"/>
      </w:pPr>
      <w:r>
        <w:t>S1-RENEGOTIATE — freeze proposal quantity/date bounds and M acceptance rule or identify the existing contract rule that controls them.</w:t>
      </w:r>
    </w:p>
    <w:p>
      <w:pPr>
        <w:pStyle w:val="ListBullet"/>
      </w:pPr>
      <w:r>
        <w:t>S1-STATUS-MSG — bind controller emission to the already frozen exact / temporary / optimistic vocabulary and decide whether it occupies an external proposal/message slot rather than the physical-action slot.</w:t>
      </w:r>
    </w:p>
    <w:p>
      <w:pPr>
        <w:pStyle w:val="ListBullet"/>
      </w:pPr>
      <w:r>
        <w:t>S1-CONTAIN — freeze the quality-evidence trigger, shipment blocking scope, and release/recovery condition.</w:t>
      </w:r>
    </w:p>
    <w:p>
      <w:pPr>
        <w:pStyle w:val="ListBullet"/>
      </w:pPr>
      <w:r>
        <w:t>S1-EXIT — freeze the objective/voluntary exit condition used by each controller architecture; primary-horizon irreversibility is already frozen.</w:t>
      </w:r>
    </w:p>
    <w:p>
      <w:pPr>
        <w:pStyle w:val="Heading1"/>
      </w:pPr>
      <w:r>
        <w:t>3. S2 closure items</w:t>
      </w:r>
    </w:p>
    <w:p>
      <w:pPr>
        <w:pStyle w:val="ListBullet"/>
      </w:pPr>
      <w:r>
        <w:t>S2-QUOTE — freeze offered capacity/price message parameters and slot classification.</w:t>
      </w:r>
    </w:p>
    <w:p>
      <w:pPr>
        <w:pStyle w:val="ListBullet"/>
      </w:pPr>
      <w:r>
        <w:t>S2-TOOL — freeze M share/agreement, completion timing, resource encumbrance, and exact line-ceiling transition toward 85.</w:t>
      </w:r>
    </w:p>
    <w:p>
      <w:pPr>
        <w:pStyle w:val="ListBullet"/>
      </w:pPr>
      <w:r>
        <w:t>S2-PRODUCE — freeze quantity/inventory accounting under qualified and conditional caps and interaction with shipment.</w:t>
      </w:r>
    </w:p>
    <w:p>
      <w:pPr>
        <w:pStyle w:val="ListBullet"/>
      </w:pPr>
      <w:r>
        <w:t>S2-EXTERNAL-RESERVE — distinguish the already frozen exogenous P6/P7 opportunity closure from any controller-selected reservation action.</w:t>
      </w:r>
    </w:p>
    <w:p>
      <w:pPr>
        <w:pStyle w:val="ListBullet"/>
      </w:pPr>
      <w:r>
        <w:t>S2-EXIT — freeze market-participation exit trigger; exit remains irreversible through the primary horizon.</w:t>
      </w:r>
    </w:p>
    <w:p>
      <w:pPr>
        <w:pStyle w:val="Heading1"/>
      </w:pPr>
      <w:r>
        <w:t>4. Pass condition</w:t>
      </w:r>
    </w:p>
    <w:p>
      <w:r>
        <w:t>The gate closes only when every affected family has: (1) source citation or explicitly versioned prospective fixture; (2) complete parameters and validation rule; (3) deterministic world transformation/proposal effect; (4) controller-reachable fixture for A, B0–B4, and C under identical action parity; and (5) regression tests proving the family is not merely nominal. Only then may production readiness and a new execution lock be run.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