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V2 Benchmark — Non-M Action Surface Resolution v0.13</w:t>
      </w:r>
    </w:p>
    <w:p>
      <w:pPr>
        <w:jc w:val="center"/>
      </w:pPr>
      <w:r>
        <w:rPr>
          <w:i/>
          <w:sz w:val="18"/>
        </w:rPr>
        <w:t>Prospective primary-surface narrowing; closes the M7 non-M formalization gate</w:t>
      </w:r>
    </w:p>
    <w:tbl>
      <w:tblPr>
        <w:tblStyle w:val="TableGrid"/>
        <w:tblW w:type="auto" w:w="0"/>
        <w:jc w:val="center"/>
        <w:tblLook w:firstColumn="1" w:firstRow="1" w:lastColumn="0" w:lastRow="0" w:noHBand="0" w:noVBand="1" w:val="04A0"/>
      </w:tblPr>
      <w:tblGrid>
        <w:gridCol w:w="5112"/>
        <w:gridCol w:w="5112"/>
      </w:tblGrid>
      <w:tr>
        <w:tc>
          <w:tcPr>
            <w:tcW w:type="dxa" w:w="5112"/>
            <w:shd w:fill="EDEDED"/>
            <w:vAlign w:val="center"/>
          </w:tcPr>
          <w:p>
            <w:r>
              <w:t>Status</w:t>
            </w:r>
          </w:p>
        </w:tc>
        <w:tc>
          <w:tcPr>
            <w:tcW w:type="dxa" w:w="5112"/>
            <w:vAlign w:val="center"/>
          </w:tcPr>
          <w:p>
            <w:r>
              <w:t>CLOSED — PROSPECTIVE BENCHMARK FIXTURE</w:t>
            </w:r>
          </w:p>
        </w:tc>
      </w:tr>
      <w:tr>
        <w:tc>
          <w:tcPr>
            <w:tcW w:type="dxa" w:w="5112"/>
            <w:shd w:fill="EDEDED"/>
            <w:vAlign w:val="center"/>
          </w:tcPr>
          <w:p>
            <w:r>
              <w:t>Date</w:t>
            </w:r>
          </w:p>
        </w:tc>
        <w:tc>
          <w:tcPr>
            <w:tcW w:type="dxa" w:w="5112"/>
            <w:vAlign w:val="center"/>
          </w:tcPr>
          <w:p>
            <w:r>
              <w:t>August 31, 2026</w:t>
            </w:r>
          </w:p>
        </w:tc>
      </w:tr>
      <w:tr>
        <w:tc>
          <w:tcPr>
            <w:tcW w:type="dxa" w:w="5112"/>
            <w:shd w:fill="EDEDED"/>
            <w:vAlign w:val="center"/>
          </w:tcPr>
          <w:p>
            <w:r>
              <w:t>Outcome firewall</w:t>
            </w:r>
          </w:p>
        </w:tc>
        <w:tc>
          <w:tcPr>
            <w:tcW w:type="dxa" w:w="5112"/>
            <w:vAlign w:val="center"/>
          </w:tcPr>
          <w:p>
            <w:r>
              <w:t>No M6 comparative outcome values were consulted in choosing these closures.</w:t>
            </w:r>
          </w:p>
        </w:tc>
      </w:tr>
      <w:tr>
        <w:tc>
          <w:tcPr>
            <w:tcW w:type="dxa" w:w="5112"/>
            <w:shd w:fill="EDEDED"/>
            <w:vAlign w:val="center"/>
          </w:tcPr>
          <w:p>
            <w:r>
              <w:t>Execution effect</w:t>
            </w:r>
          </w:p>
        </w:tc>
        <w:tc>
          <w:tcPr>
            <w:tcW w:type="dxa" w:w="5112"/>
            <w:vAlign w:val="center"/>
          </w:tcPr>
          <w:p>
            <w:r>
              <w:t>Defines the primary v1.0 S1/S2 action surface for M8 and later rerun authority.</w:t>
            </w:r>
          </w:p>
        </w:tc>
      </w:tr>
    </w:tbl>
    <w:p>
      <w:pPr>
        <w:pStyle w:val="Heading1"/>
      </w:pPr>
      <w:r>
        <w:t>1. Purpose and authority rule</w:t>
      </w:r>
    </w:p>
    <w:p>
      <w:r>
        <w:t>The v0.4 action catalog named several S1/S2 action families whose qualitative purpose was clear but whose full parameter, acceptance, timing, or transition semantics were not frozen. Action-Parameterization v0.10 explicitly prohibits invention or interpolation of missing semantics and permits a later versioned resolution to narrow an under-specified action schema. This document uses that narrowing route rather than adding outcome-informed economic rules.</w:t>
      </w:r>
    </w:p>
    <w:p>
      <w:r>
        <w:t>Controlling sources: Actions_Events_v04.docx; PVPP_World_State_Spec_v0.2.docx; Action_Parameterization_v010.docx; Counterpart_Contract_v012.docx; V2_Implementation_Annex_v01.docx; V2_Role_Semantics_Addendum_v01.docx.</w:t>
      </w:r>
    </w:p>
    <w:p>
      <w:pPr>
        <w:pStyle w:val="Heading1"/>
      </w:pPr>
      <w:r>
        <w:t>2. S1 primary action surface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t>Family</w:t>
            </w:r>
          </w:p>
        </w:tc>
        <w:tc>
          <w:tcPr>
            <w:tcW w:type="dxa" w:w="3408"/>
            <w:shd w:fill="D9EAF7"/>
          </w:tcPr>
          <w:p>
            <w:r>
              <w:t>v0.13 disposition</w:t>
            </w:r>
          </w:p>
        </w:tc>
        <w:tc>
          <w:tcPr>
            <w:tcW w:type="dxa" w:w="3408"/>
            <w:shd w:fill="D9EAF7"/>
          </w:tcPr>
          <w:p>
            <w:r>
              <w:t>Primary-world semantics</w:t>
            </w:r>
          </w:p>
        </w:tc>
      </w:tr>
      <w:tr>
        <w:trPr>
          <w:cantSplit/>
        </w:trPr>
        <w:tc>
          <w:tcPr>
            <w:tcW w:type="dxa" w:w="3408"/>
          </w:tcPr>
          <w:p>
            <w:r>
              <w:t>S1-PRODUCE</w:t>
            </w:r>
          </w:p>
        </w:tc>
        <w:tc>
          <w:tcPr>
            <w:tcW w:type="dxa" w:w="3408"/>
          </w:tcPr>
          <w:p>
            <w:r>
              <w:t>Narrowed / embedded</w:t>
            </w:r>
          </w:p>
        </w:tc>
        <w:tc>
          <w:tcPr>
            <w:tcW w:type="dxa" w:w="3408"/>
          </w:tcPr>
          <w:p>
            <w:r>
              <w:t>Not an independent primary action. S1-SHIP embeds current-period production up to accessible line capability. Existing finished-board stock supplements current line output only for shipment shortfall. No elective stock-building action is licensed during the primary horizon.</w:t>
            </w:r>
          </w:p>
        </w:tc>
      </w:tr>
      <w:tr>
        <w:trPr>
          <w:cantSplit/>
        </w:trPr>
        <w:tc>
          <w:tcPr>
            <w:tcW w:type="dxa" w:w="3408"/>
          </w:tcPr>
          <w:p>
            <w:r>
              <w:t>S1-RENEGOTIATE</w:t>
            </w:r>
          </w:p>
        </w:tc>
        <w:tc>
          <w:tcPr>
            <w:tcW w:type="dxa" w:w="3408"/>
          </w:tcPr>
          <w:p>
            <w:r>
              <w:t>Narrowed to existing contract mechanism</w:t>
            </w:r>
          </w:p>
        </w:tc>
        <w:tc>
          <w:tcPr>
            <w:tcW w:type="dxa" w:w="3408"/>
          </w:tcPr>
          <w:p>
            <w:r>
              <w:t>Supplier quantity adjustment is represented by M-ORDER-S1 plus S1 accept/reject under v0.12 one-period supplier-order semantics. No separate supplier-initiated amendment surface is added.</w:t>
            </w:r>
          </w:p>
        </w:tc>
      </w:tr>
      <w:tr>
        <w:trPr>
          <w:cantSplit/>
        </w:trPr>
        <w:tc>
          <w:tcPr>
            <w:tcW w:type="dxa" w:w="3408"/>
          </w:tcPr>
          <w:p>
            <w:r>
              <w:t>S1-STATUS-MSG</w:t>
            </w:r>
          </w:p>
        </w:tc>
        <w:tc>
          <w:tcPr>
            <w:tcW w:type="dxa" w:w="3408"/>
          </w:tcPr>
          <w:p>
            <w:r>
              <w:t>Reclassified as information event</w:t>
            </w:r>
          </w:p>
        </w:tc>
        <w:tc>
          <w:tcPr>
            <w:tcW w:type="dxa" w:w="3408"/>
          </w:tcPr>
          <w:p>
            <w:r>
              <w:t>The frozen exact / temporary / optimistic strategic-message process remains world-side information PV. It does not occupy S1's physical action slot.</w:t>
            </w:r>
          </w:p>
        </w:tc>
      </w:tr>
      <w:tr>
        <w:trPr>
          <w:cantSplit/>
        </w:trPr>
        <w:tc>
          <w:tcPr>
            <w:tcW w:type="dxa" w:w="3408"/>
          </w:tcPr>
          <w:p>
            <w:r>
              <w:t>S1-CONTAIN</w:t>
            </w:r>
          </w:p>
        </w:tc>
        <w:tc>
          <w:tcPr>
            <w:tcW w:type="dxa" w:w="3408"/>
          </w:tcPr>
          <w:p>
            <w:r>
              <w:t>Retained executable action</w:t>
            </w:r>
          </w:p>
        </w:tc>
        <w:tc>
          <w:tcPr>
            <w:tcW w:type="dxa" w:w="3408"/>
          </w:tcPr>
          <w:p>
            <w:r>
              <w:t>If S1 itself observes quality PP &lt;35, containment is mandatory across A, B0-B4, and C. It blocks S1 shipment. Recovery that restores quality to &gt;=35 releases containment.</w:t>
            </w:r>
          </w:p>
        </w:tc>
      </w:tr>
      <w:tr>
        <w:trPr>
          <w:cantSplit/>
        </w:trPr>
        <w:tc>
          <w:tcPr>
            <w:tcW w:type="dxa" w:w="3408"/>
          </w:tcPr>
          <w:p>
            <w:r>
              <w:t>S1-EXIT</w:t>
            </w:r>
          </w:p>
        </w:tc>
        <w:tc>
          <w:tcPr>
            <w:tcW w:type="dxa" w:w="3408"/>
          </w:tcPr>
          <w:p>
            <w:r>
              <w:t>Reclassified as automatic world transition</w:t>
            </w:r>
          </w:p>
        </w:tc>
        <w:tc>
          <w:tcPr>
            <w:tcW w:type="dxa" w:w="3408"/>
          </w:tcPr>
          <w:p>
            <w:r>
              <w:t>No voluntary-exit controller rule is invented. S1 exits if cash &lt;=0 and line PP &lt;25 for two consecutive periods, or if forced containment/closure persists three periods. Exit is irreversible through the primary horizon.</w:t>
            </w:r>
          </w:p>
        </w:tc>
      </w:tr>
    </w:tbl>
    <w:p>
      <w:pPr>
        <w:pStyle w:val="Heading1"/>
      </w:pPr>
      <w:r>
        <w:t>3. S2 primary action surface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t>Family</w:t>
            </w:r>
          </w:p>
        </w:tc>
        <w:tc>
          <w:tcPr>
            <w:tcW w:type="dxa" w:w="3408"/>
            <w:shd w:fill="D9EAF7"/>
          </w:tcPr>
          <w:p>
            <w:r>
              <w:t>v0.13 disposition</w:t>
            </w:r>
          </w:p>
        </w:tc>
        <w:tc>
          <w:tcPr>
            <w:tcW w:type="dxa" w:w="3408"/>
            <w:shd w:fill="D9EAF7"/>
          </w:tcPr>
          <w:p>
            <w:r>
              <w:t>Primary-world semantics</w:t>
            </w:r>
          </w:p>
        </w:tc>
      </w:tr>
      <w:tr>
        <w:trPr>
          <w:cantSplit/>
        </w:trPr>
        <w:tc>
          <w:tcPr>
            <w:tcW w:type="dxa" w:w="3408"/>
          </w:tcPr>
          <w:p>
            <w:r>
              <w:t>S2-QUOTE</w:t>
            </w:r>
          </w:p>
        </w:tc>
        <w:tc>
          <w:tcPr>
            <w:tcW w:type="dxa" w:w="3408"/>
          </w:tcPr>
          <w:p>
            <w:r>
              <w:t>Reclassified as information channel</w:t>
            </w:r>
          </w:p>
        </w:tc>
        <w:tc>
          <w:tcPr>
            <w:tcW w:type="dxa" w:w="3408"/>
          </w:tcPr>
          <w:p>
            <w:r>
              <w:t>Capacity/qualification information remains an observation/message channel. No independent primary physical action is created from the under-specified quote family.</w:t>
            </w:r>
          </w:p>
        </w:tc>
      </w:tr>
      <w:tr>
        <w:trPr>
          <w:cantSplit/>
        </w:trPr>
        <w:tc>
          <w:tcPr>
            <w:tcW w:type="dxa" w:w="3408"/>
          </w:tcPr>
          <w:p>
            <w:r>
              <w:t>S2-TOOL</w:t>
            </w:r>
          </w:p>
        </w:tc>
        <w:tc>
          <w:tcPr>
            <w:tcW w:type="dxa" w:w="3408"/>
          </w:tcPr>
          <w:p>
            <w:r>
              <w:t>Explicitly excluded from primary v1.0</w:t>
            </w:r>
          </w:p>
        </w:tc>
        <w:tc>
          <w:tcPr>
            <w:tcW w:type="dxa" w:w="3408"/>
          </w:tcPr>
          <w:p>
            <w:r>
              <w:t>The $120k scale-up concept remains a possible extension, but completion timing and bilateral decision semantics were never frozen. Primary v1.0 therefore fixes S2 line PP at the existing 70 ceiling; no scale-up to 85 is available in the rerun.</w:t>
            </w:r>
          </w:p>
        </w:tc>
      </w:tr>
      <w:tr>
        <w:trPr>
          <w:cantSplit/>
        </w:trPr>
        <w:tc>
          <w:tcPr>
            <w:tcW w:type="dxa" w:w="3408"/>
          </w:tcPr>
          <w:p>
            <w:r>
              <w:t>S2-PRODUCE</w:t>
            </w:r>
          </w:p>
        </w:tc>
        <w:tc>
          <w:tcPr>
            <w:tcW w:type="dxa" w:w="3408"/>
          </w:tcPr>
          <w:p>
            <w:r>
              <w:t>Narrowed / embedded</w:t>
            </w:r>
          </w:p>
        </w:tc>
        <w:tc>
          <w:tcPr>
            <w:tcW w:type="dxa" w:w="3408"/>
          </w:tcPr>
          <w:p>
            <w:r>
              <w:t>Not an independent primary action. S2-SHIP embeds current-period production up to qualified/conditional authorization and unencumbered line capacity. No elective stock-building action is licensed.</w:t>
            </w:r>
          </w:p>
        </w:tc>
      </w:tr>
      <w:tr>
        <w:trPr>
          <w:cantSplit/>
        </w:trPr>
        <w:tc>
          <w:tcPr>
            <w:tcW w:type="dxa" w:w="3408"/>
          </w:tcPr>
          <w:p>
            <w:r>
              <w:t>S2-EXTERNAL-RESERVE</w:t>
            </w:r>
          </w:p>
        </w:tc>
        <w:tc>
          <w:tcPr>
            <w:tcW w:type="dxa" w:w="3408"/>
          </w:tcPr>
          <w:p>
            <w:r>
              <w:t>Reclassified as exogenous world event</w:t>
            </w:r>
          </w:p>
        </w:tc>
        <w:tc>
          <w:tcPr>
            <w:tcW w:type="dxa" w:w="3408"/>
          </w:tcPr>
          <w:p>
            <w:r>
              <w:t>The frozen P6/P7 opportunity-closure process remains world-side: absent qualifying M reservation by end P7, 30 units/week are externally encumbered for P8-P12.</w:t>
            </w:r>
          </w:p>
        </w:tc>
      </w:tr>
      <w:tr>
        <w:trPr>
          <w:cantSplit/>
        </w:trPr>
        <w:tc>
          <w:tcPr>
            <w:tcW w:type="dxa" w:w="3408"/>
          </w:tcPr>
          <w:p>
            <w:r>
              <w:t>S2-EXIT</w:t>
            </w:r>
          </w:p>
        </w:tc>
        <w:tc>
          <w:tcPr>
            <w:tcW w:type="dxa" w:w="3408"/>
          </w:tcPr>
          <w:p>
            <w:r>
              <w:t>Reclassified as automatic world transition</w:t>
            </w:r>
          </w:p>
        </w:tc>
        <w:tc>
          <w:tcPr>
            <w:tcW w:type="dxa" w:w="3408"/>
          </w:tcPr>
          <w:p>
            <w:r>
              <w:t>S2 exits when cash &lt; $30k and no active S2 qualification, reservation, or order contract exists. Exit is irreversible through the primary horizon.</w:t>
            </w:r>
          </w:p>
        </w:tc>
      </w:tr>
    </w:tbl>
    <w:p>
      <w:pPr>
        <w:pStyle w:val="Heading1"/>
      </w:pPr>
      <w:r>
        <w:t>4. Why this is a narrowing rather than an omission</w:t>
      </w:r>
    </w:p>
    <w:p>
      <w:r>
        <w:t>The removed labels are not left nominally present in the common role grammar. Each is either represented by an already-frozen mechanism, moved to the world/event layer where the controlling source already places it, converted to an objective terminal transition, or explicitly excluded from primary v1.0 scope. This avoids the prior defect in which the grammar advertised policy families that the production controllers could not actually realize.</w:t>
      </w:r>
    </w:p>
    <w:p>
      <w:pPr>
        <w:pStyle w:val="Heading1"/>
      </w:pPr>
      <w:r>
        <w:t>5. Conformance gates</w:t>
      </w:r>
    </w:p>
    <w:p>
      <w:r>
        <w:t>M8 adds seven v0.13 regression tests. Together with the prior suite, 96/96 tests pass. The new tests verify grammar narrowing, controller-reachable S1 containment for A/B0-B4/C, containment shipment blocking and recovery release, S1 stock-buffer shipment semantics, objective S1 exit, objective S2 exit, and explicit exclusion of S2 tooling from the primary action surface. Production readiness also passes 40/40 neutral fixtures with 100% A/B0 root-surface parity and no primary comparative outcomes generated.</w:t>
      </w:r>
    </w:p>
    <w:p>
      <w:pPr>
        <w:pStyle w:val="Heading1"/>
      </w:pPr>
      <w:r>
        <w:t>6. Closure</w:t>
      </w:r>
    </w:p>
    <w:p>
      <w:r>
        <w:t>The Non-M Action Formalization Gate is CLOSED for primary benchmark v1.0 under this prospective resolution. Any later reintroduction of supplier-initiated renegotiation, elective stock-building, or S2 tooling/scale-up requires a new versioned benchmark fixture before execution; it may not be inferred from M8 results.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