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PV-PP V2 Customer Recovery Agreement Semantic Closure v0.14</w:t>
      </w:r>
    </w:p>
    <w:p>
      <w:pPr>
        <w:jc w:val="center"/>
      </w:pPr>
      <w:r>
        <w:rPr>
          <w:i/>
        </w:rPr>
        <w:t>Prospective correction following M8 diagnostic disposition — 31 August 2026</w:t>
      </w:r>
    </w:p>
    <w:p>
      <w:pPr>
        <w:pStyle w:val="Heading1"/>
      </w:pPr>
      <w:r>
        <w:t>Status and purpose</w:t>
      </w:r>
    </w:p>
    <w:p>
      <w:r>
        <w:t>This addendum closes one implementation reachability omission: the frozen customer termination rule already permitted continuation when an accepted recovery agreement projected at least 70 units in the next period and at least 80 in the following period, but M8 provided no executable production path that could create that accepted agreement. v0.14 makes that pre-existing corridor reachable without changing the 70/80 thresholds or the customer termination boundary.</w:t>
      </w:r>
    </w:p>
    <w:p>
      <w:pPr>
        <w:pStyle w:val="Heading1"/>
      </w:pPr>
      <w:r>
        <w:t>Contract semantics</w:t>
      </w:r>
    </w:p>
    <w:p>
      <w:pPr>
        <w:pStyle w:val="ListBullet"/>
      </w:pPr>
      <w:r>
        <w:t>M is the proposer and C is the acceptor. The agreement is available only when customer termination is already eligible, PRE-decision reserve is below 40, and a two-period plan constructed from M PRE-visible state satisfies projected delivery ≥70 next period and ≥80 the following period.</w:t>
      </w:r>
    </w:p>
    <w:p>
      <w:pPr>
        <w:pStyle w:val="ListBullet"/>
      </w:pPr>
      <w:r>
        <w:t>The projection uses only PRE-visible M state and the frozen public production, supplier-supply, and finance mechanics. It does not use realized future random draws or ORACLE information.</w:t>
      </w:r>
    </w:p>
    <w:p>
      <w:pPr>
        <w:pStyle w:val="ListBullet"/>
      </w:pPr>
      <w:r>
        <w:t>Acceptance protects the customer decision in the acceptance period and the immediately following period. The evidence is no longer decision-valid after those two periods.</w:t>
      </w:r>
    </w:p>
    <w:p>
      <w:pPr>
        <w:pStyle w:val="Heading1"/>
      </w:pPr>
      <w:r>
        <w:t>No-resource / no-guarantee boundary</w:t>
      </w:r>
    </w:p>
    <w:p>
      <w:r>
        <w:t>The agreement does not erase breach strikes, replenish customer reserve, create inventory, create PP, add cash or credit, change supplier capacity, reserve transport, or guarantee either projected delivery. Ordinary stochastic transport and all existing physical constraints continue to apply. If recovery does not materialize, ordinary customer termination logic resumes when the agreement expires.</w:t>
      </w:r>
    </w:p>
    <w:p>
      <w:pPr>
        <w:pStyle w:val="Heading1"/>
      </w:pPr>
      <w:r>
        <w:t>Architecture neutrality</w:t>
      </w:r>
    </w:p>
    <w:p>
      <w:r>
        <w:t>The same agreement semantics apply to A, B0–B4, and C. The agreement uses the second external-proposal slot already allowed by the frozen V2 slot rule. No A/B/C objective weights, Sigma rules, local-priority rules, stochastic parameters, initial endowments, or world thresholds were changed.</w:t>
      </w:r>
    </w:p>
    <w:p>
      <w:pPr>
        <w:pStyle w:val="Heading1"/>
      </w:pPr>
      <w:r>
        <w:t>Verification</w:t>
      </w:r>
    </w:p>
    <w:p>
      <w:pPr>
        <w:pStyle w:val="ListBullet"/>
      </w:pPr>
      <w:r>
        <w:t>102/102 full conformance/regression tests PASS.</w:t>
      </w:r>
    </w:p>
    <w:p>
      <w:pPr>
        <w:pStyle w:val="ListBullet"/>
      </w:pPr>
      <w:r>
        <w:t>6/6 dedicated v0.14 recovery-agreement tests PASS, including all-seven-regime production reachability.</w:t>
      </w:r>
    </w:p>
    <w:p>
      <w:pPr>
        <w:pStyle w:val="ListBullet"/>
      </w:pPr>
      <w:r>
        <w:t>40/40 production-readiness fixtures PASS; A/B0 root-surface parity remains 100%; maximum transition evaluations remain 9,664 of 10,000; no primary comparative outcomes were generated during readiness.</w:t>
      </w:r>
    </w:p>
    <w:p>
      <w:pPr>
        <w:pStyle w:val="Heading1"/>
      </w:pPr>
      <w:r>
        <w:t>Authority boundary</w:t>
      </w:r>
    </w:p>
    <w:p>
      <w:r>
        <w:t>M8 remains a reproducible diagnostic dataset and must not be combined with the corrected primary ensemble. The corrected M9 ensemble must reuse the unchanged frozen 1,000-seed prefix and all seven regimes. Comparative interpretation resumes only after M9 structural validation passes.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