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PV-PP V2 Primary Comparative Execution Lock v1.2</w:t>
      </w:r>
    </w:p>
    <w:p>
      <w:pPr>
        <w:jc w:val="center"/>
      </w:pPr>
      <w:r>
        <w:rPr>
          <w:i/>
        </w:rPr>
        <w:t>M9 prospective recovery-agreement closure — 31 August 2026</w:t>
      </w:r>
    </w:p>
    <w:p>
      <w:pPr>
        <w:pStyle w:val="Heading1"/>
      </w:pPr>
      <w:r>
        <w:t>Authorization</w:t>
      </w:r>
    </w:p>
    <w:p>
      <w:r>
        <w:t>Primary comparative execution is AUTHORIZED — NOT STARTED for implementation PVPP_V2_M9.</w:t>
      </w:r>
    </w:p>
    <w:p>
      <w:pPr>
        <w:pStyle w:val="Heading1"/>
      </w:pPr>
      <w:r>
        <w:t>Frozen execution scope</w:t>
      </w:r>
    </w:p>
    <w:p>
      <w:pPr>
        <w:pStyle w:val="ListBullet"/>
      </w:pPr>
      <w:r>
        <w:t>Seed source: unchanged config/master_seeds_1000.json; 1,000 seeds.</w:t>
      </w:r>
    </w:p>
    <w:p>
      <w:pPr>
        <w:pStyle w:val="ListBullet"/>
      </w:pPr>
      <w:r>
        <w:t>Regimes: A, B0, B1, B2, B3, B4, C; 7,000 regime-runs total.</w:t>
      </w:r>
    </w:p>
    <w:p>
      <w:pPr>
        <w:pStyle w:val="ListBullet"/>
      </w:pPr>
      <w:r>
        <w:t>Primary horizon, stochastic processes, initial world state, action semantics outside v0.14, controller objectives, and reporting rules remain unchanged from the prior lock.</w:t>
      </w:r>
    </w:p>
    <w:p>
      <w:pPr>
        <w:pStyle w:val="Heading1"/>
      </w:pPr>
      <w:r>
        <w:t>Prospective change admitted by this lock</w:t>
      </w:r>
    </w:p>
    <w:p>
      <w:r>
        <w:t>Only the v0.14 customer recovery-agreement reachability closure is admitted: M may issue a two-period recovery proposal at the existing termination boundary when its legitimate PRE-visible projection satisfies the already-frozen 70/80 delivery thresholds; C may accept; accepted evidence protects the acceptance period and next period only. The agreement itself creates no physical or financial resources and does not guarantee delivery.</w:t>
      </w:r>
    </w:p>
    <w:p>
      <w:pPr>
        <w:pStyle w:val="Heading1"/>
      </w:pPr>
      <w:r>
        <w:t>Pre-execution verification</w:t>
      </w:r>
    </w:p>
    <w:p>
      <w:pPr>
        <w:pStyle w:val="ListBullet"/>
      </w:pPr>
      <w:r>
        <w:t>Full suite: 102/102 PASS.</w:t>
      </w:r>
    </w:p>
    <w:p>
      <w:pPr>
        <w:pStyle w:val="ListBullet"/>
      </w:pPr>
      <w:r>
        <w:t>Dedicated v0.14 regressions: 6/6 PASS.</w:t>
      </w:r>
    </w:p>
    <w:p>
      <w:pPr>
        <w:pStyle w:val="ListBullet"/>
      </w:pPr>
      <w:r>
        <w:t>Production readiness: 40/40 PASS; A/B0 root-surface parity 100%; max transition evaluations 9,664/10,000.</w:t>
      </w:r>
    </w:p>
    <w:p>
      <w:pPr>
        <w:pStyle w:val="Heading1"/>
      </w:pPr>
      <w:r>
        <w:t>Outcome firewall</w:t>
      </w:r>
    </w:p>
    <w:p>
      <w:r>
        <w:t>M8 outcome magnitudes were not used to retune A, B, C, stochastic parameters, initial resources, or the 70/80 recovery thresholds. M8 is retained only as diagnostic evidence identifying the unreachable contract corridor. No M9 primary outcomes existed when this lock was issued.</w:t>
      </w:r>
    </w:p>
    <w:p>
      <w:pPr>
        <w:pStyle w:val="Heading1"/>
      </w:pPr>
      <w:r>
        <w:t>Post-run acceptance gate</w:t>
      </w:r>
    </w:p>
    <w:p>
      <w:r>
        <w:t>Before any outcome analysis, the M9 result set must contain exactly 1,000 complete seed files and 7,000 regime-runs with zero failure records and zero structural errors. Only after that gate passes may paired metric-by-metric analysis and renewed recoverability analysis begin.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