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V2 Execution Lock v1.3 — M10</w:t>
      </w:r>
    </w:p>
    <w:p>
      <w:pPr>
        <w:jc w:val="center"/>
      </w:pPr>
      <w:r>
        <w:rPr>
          <w:i/>
        </w:rPr>
        <w:t>Recovery-agreement anti-rollover closure</w:t>
      </w:r>
    </w:p>
    <w:p>
      <w:pPr>
        <w:pStyle w:val="Heading1"/>
      </w:pPr>
      <w:r>
        <w:t>Execution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  <w:vAlign w:val="center"/>
          </w:tcPr>
          <w:p>
            <w:r>
              <w:t>Build</w:t>
            </w:r>
          </w:p>
        </w:tc>
        <w:tc>
          <w:tcPr>
            <w:tcW w:type="dxa" w:w="5040"/>
            <w:vAlign w:val="center"/>
          </w:tcPr>
          <w:p>
            <w:r>
              <w:t>PVPP_V2_M10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Authority increment</w:t>
            </w:r>
          </w:p>
        </w:tc>
        <w:tc>
          <w:tcPr>
            <w:tcW w:type="dxa" w:w="5040"/>
            <w:vAlign w:val="center"/>
          </w:tcPr>
          <w:p>
            <w:r>
              <w:t>v0.15 recovery-agreement anti-rollover closure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Seed set</w:t>
            </w:r>
          </w:p>
        </w:tc>
        <w:tc>
          <w:tcPr>
            <w:tcW w:type="dxa" w:w="5040"/>
            <w:vAlign w:val="center"/>
          </w:tcPr>
          <w:p>
            <w:r>
              <w:t>Unchanged frozen 1,000-seed primary prefix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Regimes</w:t>
            </w:r>
          </w:p>
        </w:tc>
        <w:tc>
          <w:tcPr>
            <w:tcW w:type="dxa" w:w="5040"/>
            <w:vAlign w:val="center"/>
          </w:tcPr>
          <w:p>
            <w:r>
              <w:t>A, B0, B1, B2, B3, B4, C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Regime-runs</w:t>
            </w:r>
          </w:p>
        </w:tc>
        <w:tc>
          <w:tcPr>
            <w:tcW w:type="dxa" w:w="5040"/>
            <w:vAlign w:val="center"/>
          </w:tcPr>
          <w:p>
            <w:r>
              <w:t>7,000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Execution status</w:t>
            </w:r>
          </w:p>
        </w:tc>
        <w:tc>
          <w:tcPr>
            <w:tcW w:type="dxa" w:w="5040"/>
            <w:vAlign w:val="center"/>
          </w:tcPr>
          <w:p>
            <w:r>
              <w:t>AUTHORIZED — NOT STARTED</w:t>
            </w:r>
          </w:p>
        </w:tc>
      </w:tr>
    </w:tbl>
    <w:p>
      <w:pPr>
        <w:pStyle w:val="Heading1"/>
      </w:pPr>
      <w:r>
        <w:t>Locked correction</w:t>
      </w:r>
    </w:p>
    <w:p>
      <w:r>
        <w:t>A customer recovery agreement may be accepted at most once per benchmark relationship/run. Acceptance creates no resources and protects exactly two customer-decision periods. After expiry, no replacement recovery agreement may be issued; the ordinary frozen customer termination rule resumes.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  <w:vAlign w:val="center"/>
          </w:tcPr>
          <w:p>
            <w:r>
              <w:t>Regression/conformance</w:t>
            </w:r>
          </w:p>
        </w:tc>
        <w:tc>
          <w:tcPr>
            <w:tcW w:type="dxa" w:w="5040"/>
            <w:vAlign w:val="center"/>
          </w:tcPr>
          <w:p>
            <w:r>
              <w:t>104/104 PASS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Anti-rollover closure tests</w:t>
            </w:r>
          </w:p>
        </w:tc>
        <w:tc>
          <w:tcPr>
            <w:tcW w:type="dxa" w:w="5040"/>
            <w:vAlign w:val="center"/>
          </w:tcPr>
          <w:p>
            <w:r>
              <w:t>2/2 PASS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Readiness fixtures</w:t>
            </w:r>
          </w:p>
        </w:tc>
        <w:tc>
          <w:tcPr>
            <w:tcW w:type="dxa" w:w="5040"/>
            <w:vAlign w:val="center"/>
          </w:tcPr>
          <w:p>
            <w:r>
              <w:t>40/40 PASS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A/B0 root parity</w:t>
            </w:r>
          </w:p>
        </w:tc>
        <w:tc>
          <w:tcPr>
            <w:tcW w:type="dxa" w:w="5040"/>
            <w:vAlign w:val="center"/>
          </w:tcPr>
          <w:p>
            <w:r>
              <w:t>100%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Max transition evaluations</w:t>
            </w:r>
          </w:p>
        </w:tc>
        <w:tc>
          <w:tcPr>
            <w:tcW w:type="dxa" w:w="5040"/>
            <w:vAlign w:val="center"/>
          </w:tcPr>
          <w:p>
            <w:r>
              <w:t>9,664 / 10,000</w:t>
            </w:r>
          </w:p>
        </w:tc>
      </w:tr>
      <w:tr>
        <w:tc>
          <w:tcPr>
            <w:tcW w:type="dxa" w:w="5040"/>
            <w:shd w:fill="E7E6E6"/>
            <w:vAlign w:val="center"/>
          </w:tcPr>
          <w:p>
            <w:r>
              <w:t>Outcome inspection during correction/readiness</w:t>
            </w:r>
          </w:p>
        </w:tc>
        <w:tc>
          <w:tcPr>
            <w:tcW w:type="dxa" w:w="5040"/>
            <w:vAlign w:val="center"/>
          </w:tcPr>
          <w:p>
            <w:r>
              <w:t>None</w:t>
            </w:r>
          </w:p>
        </w:tc>
      </w:tr>
    </w:tbl>
    <w:p>
      <w:pPr>
        <w:pStyle w:val="Heading1"/>
      </w:pPr>
      <w:r>
        <w:t>Anti-tuning boundary</w:t>
      </w:r>
    </w:p>
    <w:p>
      <w:r>
        <w:t>No M9 outcome was used to alter controller weights, thresholds, stochastic parameters, production resources, customer thresholds, or regime-specific decision objectives. The only prospective change is semantic closure of the recovery-agreement duration/renewal rule identified by the execution audit.</w:t>
      </w:r>
    </w:p>
    <w:p>
      <w:pPr>
        <w:pStyle w:val="Heading1"/>
      </w:pPr>
      <w:r>
        <w:t>Run protocol</w:t>
      </w:r>
    </w:p>
    <w:p>
      <w:r>
        <w:t>Execute the unchanged 1,000-seed prefix across all seven regimes using the packaged Mac runner. Validate file count, regime count, failure records, and structural errors before inspecting any M10 comparative outcome.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