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V2 Primary Run Attempt 1 — Disposition Record</w:t>
      </w:r>
    </w:p>
    <w:p>
      <w:pPr>
        <w:jc w:val="center"/>
      </w:pPr>
      <w:r>
        <w:rPr>
          <w:i/>
        </w:rPr>
        <w:t>M6 completed ensemble; pre-analysis invalidation</w:t>
      </w:r>
    </w:p>
    <w:tbl>
      <w:tblPr>
        <w:tblStyle w:val="TableGrid"/>
        <w:tblW w:type="auto" w:w="0"/>
        <w:tblLook w:firstColumn="1" w:firstRow="1" w:lastColumn="0" w:lastRow="0" w:noHBand="0" w:noVBand="1" w:val="04A0"/>
      </w:tblPr>
      <w:tblGrid>
        <w:gridCol w:w="5040"/>
        <w:gridCol w:w="5040"/>
      </w:tblGrid>
      <w:tr>
        <w:tc>
          <w:tcPr>
            <w:tcW w:type="dxa" w:w="5040"/>
          </w:tcPr>
          <w:p>
            <w:r>
              <w:t>Status</w:t>
            </w:r>
          </w:p>
        </w:tc>
        <w:tc>
          <w:tcPr>
            <w:tcW w:type="dxa" w:w="5040"/>
          </w:tcPr>
          <w:p>
            <w:r>
              <w:t>INVALID DIAGNOSTIC DATASET — NO COMPARATIVE INFERENCE</w:t>
            </w:r>
          </w:p>
        </w:tc>
      </w:tr>
      <w:tr>
        <w:tc>
          <w:tcPr>
            <w:tcW w:type="dxa" w:w="5040"/>
          </w:tcPr>
          <w:p>
            <w:r>
              <w:t>Completed dataset</w:t>
            </w:r>
          </w:p>
        </w:tc>
        <w:tc>
          <w:tcPr>
            <w:tcW w:type="dxa" w:w="5040"/>
          </w:tcPr>
          <w:p>
            <w:r>
              <w:t>1,000 frozen seeds; 7 regimes per seed; 7,000 regime-runs; structural validation PASS</w:t>
            </w:r>
          </w:p>
        </w:tc>
      </w:tr>
      <w:tr>
        <w:tc>
          <w:tcPr>
            <w:tcW w:type="dxa" w:w="5040"/>
          </w:tcPr>
          <w:p>
            <w:r>
              <w:t>Disposition date</w:t>
            </w:r>
          </w:p>
        </w:tc>
        <w:tc>
          <w:tcPr>
            <w:tcW w:type="dxa" w:w="5040"/>
          </w:tcPr>
          <w:p>
            <w:r>
              <w:t>August 31, 2026</w:t>
            </w:r>
          </w:p>
        </w:tc>
      </w:tr>
      <w:tr>
        <w:tc>
          <w:tcPr>
            <w:tcW w:type="dxa" w:w="5040"/>
          </w:tcPr>
          <w:p>
            <w:r>
              <w:t>Outcome firewall</w:t>
            </w:r>
          </w:p>
        </w:tc>
        <w:tc>
          <w:tcPr>
            <w:tcW w:type="dxa" w:w="5040"/>
          </w:tcPr>
          <w:p>
            <w:r>
              <w:t>No aggregate A/B/C comparative outcome analysis performed before disposition</w:t>
            </w:r>
          </w:p>
        </w:tc>
      </w:tr>
    </w:tbl>
    <w:p/>
    <w:p>
      <w:pPr>
        <w:pStyle w:val="Heading1"/>
      </w:pPr>
      <w:r>
        <w:t>1. Purpose</w:t>
      </w:r>
    </w:p>
    <w:p>
      <w:r>
        <w:t>This record formally preserves and classifies the completed M6 primary ensemble after a source-and-code integrity audit identified implementation defects before comparative outcome analysis. The dataset is retained as diagnostic execution evidence. It is not valid evidence for comparative claims among A, B0–B4, and C.</w:t>
      </w:r>
    </w:p>
    <w:p>
      <w:pPr>
        <w:pStyle w:val="Heading1"/>
      </w:pPr>
      <w:r>
        <w:t>2. Basis for invalidation</w:t>
      </w:r>
    </w:p>
    <w:p>
      <w:pPr>
        <w:pStyle w:val="ListBullet"/>
      </w:pPr>
      <w:r>
        <w:t>S1 assisted recovery: accepted M assistance set a runtime flag, but S1-RECOVER still applied the ordinary +15 line / +20 quality increment rather than the frozen assisted +20 / +25 increment.</w:t>
      </w:r>
    </w:p>
    <w:p>
      <w:pPr>
        <w:pStyle w:val="ListBullet"/>
      </w:pPr>
      <w:r>
        <w:t>Customer controller: M6 introduced architecture-specific C-THREATEN reserve thresholds (&lt;40 A, &lt;60 B, &lt;80 C) that were not frozen in the v0.4 customer policy.</w:t>
      </w:r>
    </w:p>
    <w:p>
      <w:pPr>
        <w:pStyle w:val="ListBullet"/>
      </w:pPr>
      <w:r>
        <w:t>Outbound transport: M-BOOK-T charged fees and recorded reservations, but M-to-C shipment bypassed those reservations and transport realization.</w:t>
      </w:r>
    </w:p>
    <w:p>
      <w:pPr>
        <w:pStyle w:val="ListBullet"/>
      </w:pPr>
      <w:r>
        <w:t>Non-M role action surface: the grammar named materially relevant S1/S2 families that were not fully executable/reachable in production role controllers.</w:t>
      </w:r>
    </w:p>
    <w:p>
      <w:pPr>
        <w:pStyle w:val="Heading1"/>
      </w:pPr>
      <w:r>
        <w:t>3. Scientific handling</w:t>
      </w:r>
    </w:p>
    <w:p>
      <w:r>
        <w:t>The completed M6 result files must remain unchanged. They may be used to diagnose implementation behavior, reproduce the defect, or test archival tooling, but not to estimate architecture performance, rank regimes, tune controller rules, select thresholds, or justify framework claims. Corrections must be made prospectively without consulting comparative M6 outcomes.</w:t>
      </w:r>
    </w:p>
    <w:p>
      <w:pPr>
        <w:pStyle w:val="Heading1"/>
      </w:pPr>
      <w:r>
        <w:t>4. Authority basis</w:t>
      </w:r>
    </w:p>
    <w:p>
      <w:r>
        <w:t>The controlling benchmark paper stack identifies Actions_Events_v04.docx as authority for action grammar, execution order, proposals, transformations, delayed events, feasibility, and event semantics; later frozen addenda supersede only specifically resolved parameters. Action_Semantics_v011.docx and Counterpart_Contract_v012.docx supply later closure where applicable.</w:t>
      </w:r>
    </w:p>
    <w:p>
      <w:pPr>
        <w:pStyle w:val="Heading1"/>
      </w:pPr>
      <w:r>
        <w:t>5. Replacement path</w:t>
      </w:r>
    </w:p>
    <w:p>
      <w:r>
        <w:t>M7 is the prospective correction branch. A new primary run is prohibited until all confirmed defects are closed, authority-derived regression tests pass, production readiness passes, and a new execution-lock record explicitly authorizes the rerun from the same predeclared 1,000-seed prefix.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