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Integrated Multi-Agent Productive System Stress Benchmark</w:t>
        <w:br/>
        <w:t>Action-Semantics Closure Audit — Version 0.11</w:t>
      </w:r>
    </w:p>
    <w:p>
      <w:pPr>
        <w:jc w:val="center"/>
      </w:pPr>
      <w:r>
        <w:rPr>
          <w:b/>
        </w:rPr>
        <w:t>Pre-Lock Benchmark Fixture Resolution — 31 August 2026</w:t>
      </w:r>
    </w:p>
    <w:p>
      <w:r>
        <w:rPr>
          <w:b/>
        </w:rPr>
        <w:t xml:space="preserve">STATUS: NARROW PRE-LOCK RESOLUTION. </w:t>
      </w:r>
      <w:r>
        <w:t>Closes action families only where v0.2/v0.4 already define a complete transformation. It does not invent counterpart acceptance, pricing, cancellation, or contract terms. Primary comparative execution remains prohibited.</w:t>
      </w:r>
    </w:p>
    <w:p>
      <w:pPr>
        <w:pStyle w:val="Heading1"/>
      </w:pPr>
      <w:r>
        <w:t>1. Purpose</w:t>
      </w:r>
    </w:p>
    <w:p>
      <w:r>
        <w:t>Version 0.10 correctly removed the unauthorized coarse oracle quantity grid but conservatively marked twelve action areas incomplete. This audit re-reads the controlling World and State Specification v0.2 and Action, Transformation, and Event Specification v0.4 together. A family is closed only when its parameter lattice, feasibility rule, and state transformation are already determinable from those sources without interpolation or policy invention.</w:t>
      </w:r>
    </w:p>
    <w:p>
      <w:pPr>
        <w:pStyle w:val="Heading1"/>
      </w:pPr>
      <w:r>
        <w:t>2. Closure rule</w:t>
      </w:r>
    </w:p>
    <w:p>
      <w:r>
        <w:t>An action family is SEMANTICALLY COMPLETE for oracle expansion when every parameter value exposed by the benchmark fixture has a deterministic or frozen stochastic transformation, including resource consumption and commitment effects. A family is OPEN when counterpart acceptance, fee/price, cancellation remedy, duration, or transformation remains unspecified. Open families force default exhaustive-oracle failure to remain UNDETERMINED.</w:t>
      </w:r>
    </w:p>
    <w:p>
      <w:pPr>
        <w:pStyle w:val="Heading1"/>
      </w:pPr>
      <w:r>
        <w:t>3. Family-by-family disposition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1944"/>
            <w:vAlign w:val="top"/>
          </w:tcPr>
          <w:p>
            <w:r>
              <w:t>Family</w:t>
            </w:r>
          </w:p>
        </w:tc>
        <w:tc>
          <w:tcPr>
            <w:tcW w:type="dxa" w:w="1728"/>
            <w:vAlign w:val="top"/>
          </w:tcPr>
          <w:p>
            <w:r>
              <w:t>Disposition</w:t>
            </w:r>
          </w:p>
        </w:tc>
        <w:tc>
          <w:tcPr>
            <w:tcW w:type="dxa" w:w="6768"/>
            <w:vAlign w:val="top"/>
          </w:tcPr>
          <w:p>
            <w:r>
              <w:t>Source-grounded resolution</w:t>
            </w:r>
          </w:p>
        </w:tc>
      </w:tr>
      <w:tr>
        <w:tc>
          <w:tcPr>
            <w:tcW w:type="dxa" w:w="1944"/>
            <w:vAlign w:val="top"/>
          </w:tcPr>
          <w:p>
            <w:r>
              <w:t>M-CONSERVE</w:t>
            </w:r>
          </w:p>
        </w:tc>
        <w:tc>
          <w:tcPr>
            <w:tcW w:type="dxa" w:w="1728"/>
            <w:vAlign w:val="top"/>
          </w:tcPr>
          <w:p>
            <w:r>
              <w:t>CLOSED</w:t>
            </w:r>
          </w:p>
        </w:tc>
        <w:tc>
          <w:tcPr>
            <w:tcW w:type="dxa" w:w="6768"/>
            <w:vAlign w:val="top"/>
          </w:tcPr>
          <w:p>
            <w:r>
              <w:t>Integer production cap within current feasible quantity. Unilateral. Effect is exactly reduced current resource use/output and preservation of accessible stock/capacity. No separate fee is specified or required.</w:t>
            </w:r>
          </w:p>
        </w:tc>
      </w:tr>
      <w:tr>
        <w:tc>
          <w:tcPr>
            <w:tcW w:type="dxa" w:w="1944"/>
            <w:vAlign w:val="top"/>
          </w:tcPr>
          <w:p>
            <w:r>
              <w:t>M-RATION</w:t>
            </w:r>
          </w:p>
        </w:tc>
        <w:tc>
          <w:tcPr>
            <w:tcW w:type="dxa" w:w="1728"/>
            <w:vAlign w:val="top"/>
          </w:tcPr>
          <w:p>
            <w:r>
              <w:t>CLOSED</w:t>
            </w:r>
          </w:p>
        </w:tc>
        <w:tc>
          <w:tcPr>
            <w:tcW w:type="dxa" w:w="6768"/>
            <w:vAlign w:val="top"/>
          </w:tcPr>
          <w:p>
            <w:r>
              <w:t>Integer customer allocation bounded by accessible finished goods. Effect is partial allocation/fulfillment; unrenegotiated commitment consequences remain governed by the customer-breach rules.</w:t>
            </w:r>
          </w:p>
        </w:tc>
      </w:tr>
      <w:tr>
        <w:tc>
          <w:tcPr>
            <w:tcW w:type="dxa" w:w="1944"/>
            <w:vAlign w:val="top"/>
          </w:tcPr>
          <w:p>
            <w:r>
              <w:t>M-SPLIT-SOURCE</w:t>
            </w:r>
          </w:p>
        </w:tc>
        <w:tc>
          <w:tcPr>
            <w:tcW w:type="dxa" w:w="1728"/>
            <w:vAlign w:val="top"/>
          </w:tcPr>
          <w:p>
            <w:r>
              <w:t>CLOSED</w:t>
            </w:r>
          </w:p>
        </w:tc>
        <w:tc>
          <w:tcPr>
            <w:tcW w:type="dxa" w:w="6768"/>
            <w:vAlign w:val="top"/>
          </w:tcPr>
          <w:p>
            <w:r>
              <w:t>Integer S1/S2 quantities bounded by authorization and accessible supply. No special bonus. Board costs are frozen at S1 $2k and S2 $2.6k per accepted board, paid on receipt.</w:t>
            </w:r>
          </w:p>
        </w:tc>
      </w:tr>
      <w:tr>
        <w:tc>
          <w:tcPr>
            <w:tcW w:type="dxa" w:w="1944"/>
            <w:vAlign w:val="top"/>
          </w:tcPr>
          <w:p>
            <w:r>
              <w:t>M-BOOK-T</w:t>
            </w:r>
          </w:p>
        </w:tc>
        <w:tc>
          <w:tcPr>
            <w:tcW w:type="dxa" w:w="1728"/>
            <w:vAlign w:val="top"/>
          </w:tcPr>
          <w:p>
            <w:r>
              <w:t>CLOSED</w:t>
            </w:r>
          </w:p>
        </w:tc>
        <w:tc>
          <w:tcPr>
            <w:tcW w:type="dxa" w:w="6768"/>
            <w:vAlign w:val="top"/>
          </w:tcPr>
          <w:p>
            <w:r>
              <w:t>Mode is normal/expedite; slots are integer and bounded by T capacity for the named period. Freight is $4k normal / $12k expedite per accepted slot at booking. T execution then follows congestion-conditioned reliability.</w:t>
            </w:r>
          </w:p>
        </w:tc>
      </w:tr>
      <w:tr>
        <w:tc>
          <w:tcPr>
            <w:tcW w:type="dxa" w:w="1944"/>
            <w:vAlign w:val="top"/>
          </w:tcPr>
          <w:p>
            <w:r>
              <w:t>M-ASSIST-S1</w:t>
            </w:r>
          </w:p>
        </w:tc>
        <w:tc>
          <w:tcPr>
            <w:tcW w:type="dxa" w:w="1728"/>
            <w:vAlign w:val="top"/>
          </w:tcPr>
          <w:p>
            <w:r>
              <w:t>CLOSED</w:t>
            </w:r>
          </w:p>
        </w:tc>
        <w:tc>
          <w:tcPr>
            <w:tcW w:type="dxa" w:w="6768"/>
            <w:vAlign w:val="top"/>
          </w:tcPr>
          <w:p>
            <w:r>
              <w:t>Accepted assistance consumes 20 M engineering points and $20k; S1 recovery increment becomes +20 line/+25 quality for that period, capped at 100.</w:t>
            </w:r>
          </w:p>
        </w:tc>
      </w:tr>
      <w:tr>
        <w:tc>
          <w:tcPr>
            <w:tcW w:type="dxa" w:w="1944"/>
            <w:vAlign w:val="top"/>
          </w:tcPr>
          <w:p>
            <w:r>
              <w:t>M-RECOVER-PP</w:t>
            </w:r>
          </w:p>
        </w:tc>
        <w:tc>
          <w:tcPr>
            <w:tcW w:type="dxa" w:w="1728"/>
            <w:vAlign w:val="top"/>
          </w:tcPr>
          <w:p>
            <w:r>
              <w:t>CLOSED</w:t>
            </w:r>
          </w:p>
        </w:tc>
        <w:tc>
          <w:tcPr>
            <w:tcW w:type="dxa" w:w="6768"/>
            <w:vAlign w:val="top"/>
          </w:tcPr>
          <w:p>
            <w:r>
              <w:t>Engineering recovery consumes $25k +20 engineering points and restores either +10 assembly or +12 test PP at period end.</w:t>
            </w:r>
          </w:p>
        </w:tc>
      </w:tr>
      <w:tr>
        <w:tc>
          <w:tcPr>
            <w:tcW w:type="dxa" w:w="1944"/>
            <w:vAlign w:val="top"/>
          </w:tcPr>
          <w:p>
            <w:r>
              <w:t>M-AMEND-L</w:t>
            </w:r>
          </w:p>
        </w:tc>
        <w:tc>
          <w:tcPr>
            <w:tcW w:type="dxa" w:w="1728"/>
            <w:vAlign w:val="top"/>
          </w:tcPr>
          <w:p>
            <w:r>
              <w:t>CLOSED FOR PRIMARY FIXTURE</w:t>
            </w:r>
          </w:p>
        </w:tc>
        <w:tc>
          <w:tcPr>
            <w:tcW w:type="dxa" w:w="6768"/>
            <w:vAlign w:val="top"/>
          </w:tcPr>
          <w:p>
            <w:r>
              <w:t>Primary executable amendment is the frozen emergency amendment: $30k fee, +0.20 headroom once (cap 1.0), +$10k/week future burden if L accepts. No broader amendment menu is inferred.</w:t>
            </w:r>
          </w:p>
        </w:tc>
      </w:tr>
      <w:tr>
        <w:tc>
          <w:tcPr>
            <w:tcW w:type="dxa" w:w="1944"/>
            <w:vAlign w:val="top"/>
          </w:tcPr>
          <w:p>
            <w:r>
              <w:t>M-RESERVE-S2</w:t>
            </w:r>
          </w:p>
        </w:tc>
        <w:tc>
          <w:tcPr>
            <w:tcW w:type="dxa" w:w="1728"/>
            <w:vAlign w:val="top"/>
          </w:tcPr>
          <w:p>
            <w:r>
              <w:t>OPEN</w:t>
            </w:r>
          </w:p>
        </w:tc>
        <w:tc>
          <w:tcPr>
            <w:tcW w:type="dxa" w:w="6768"/>
            <w:vAlign w:val="top"/>
          </w:tcPr>
          <w:p>
            <w:r>
              <w:t>Schema permits quantity &lt;=60 and duration, while the world source prices only a 60-board/week reservation at $20k and does not define a general fee/duration schedule.</w:t>
            </w:r>
          </w:p>
        </w:tc>
      </w:tr>
      <w:tr>
        <w:tc>
          <w:tcPr>
            <w:tcW w:type="dxa" w:w="1944"/>
            <w:vAlign w:val="top"/>
          </w:tcPr>
          <w:p>
            <w:r>
              <w:t>M-RENEG-C</w:t>
            </w:r>
          </w:p>
        </w:tc>
        <w:tc>
          <w:tcPr>
            <w:tcW w:type="dxa" w:w="1728"/>
            <w:vAlign w:val="top"/>
          </w:tcPr>
          <w:p>
            <w:r>
              <w:t>OPEN</w:t>
            </w:r>
          </w:p>
        </w:tc>
        <w:tc>
          <w:tcPr>
            <w:tcW w:type="dxa" w:w="6768"/>
            <w:vAlign w:val="top"/>
          </w:tcPr>
          <w:p>
            <w:r>
              <w:t>Quantity/deadline proposal and C acceptance are typed, but no complete numerical acceptance policy over every pair is frozen.</w:t>
            </w:r>
          </w:p>
        </w:tc>
      </w:tr>
      <w:tr>
        <w:tc>
          <w:tcPr>
            <w:tcW w:type="dxa" w:w="1944"/>
            <w:vAlign w:val="top"/>
          </w:tcPr>
          <w:p>
            <w:r>
              <w:t>M-ORDER-S1 / M-ORDER-S2</w:t>
            </w:r>
          </w:p>
        </w:tc>
        <w:tc>
          <w:tcPr>
            <w:tcW w:type="dxa" w:w="1728"/>
            <w:vAlign w:val="top"/>
          </w:tcPr>
          <w:p>
            <w:r>
              <w:t>OPEN</w:t>
            </w:r>
          </w:p>
        </w:tc>
        <w:tc>
          <w:tcPr>
            <w:tcW w:type="dxa" w:w="6768"/>
            <w:vAlign w:val="top"/>
          </w:tcPr>
          <w:p>
            <w:r>
              <w:t>Supply commitments and receipt pricing are defined, but counterpart acceptance/payment-term semantics over every offered quantity are not fully frozen.</w:t>
            </w:r>
          </w:p>
        </w:tc>
      </w:tr>
      <w:tr>
        <w:tc>
          <w:tcPr>
            <w:tcW w:type="dxa" w:w="1944"/>
            <w:vAlign w:val="top"/>
          </w:tcPr>
          <w:p>
            <w:r>
              <w:t>M-CANCEL</w:t>
            </w:r>
          </w:p>
        </w:tc>
        <w:tc>
          <w:tcPr>
            <w:tcW w:type="dxa" w:w="1728"/>
            <w:vAlign w:val="top"/>
          </w:tcPr>
          <w:p>
            <w:r>
              <w:t>OPEN</w:t>
            </w:r>
          </w:p>
        </w:tc>
        <w:tc>
          <w:tcPr>
            <w:tcW w:type="dxa" w:w="6768"/>
            <w:vAlign w:val="top"/>
          </w:tcPr>
          <w:p>
            <w:r>
              <w:t>Only eligible cancellations are licensed and sunk costs remain sunk, but the set of cancellable states and release/refund terms are not exhaustively specified.</w:t>
            </w:r>
          </w:p>
        </w:tc>
      </w:tr>
      <w:tr>
        <w:tc>
          <w:tcPr>
            <w:tcW w:type="dxa" w:w="1944"/>
            <w:vAlign w:val="top"/>
          </w:tcPr>
          <w:p>
            <w:r>
              <w:t>Counterpart joint catalogs</w:t>
            </w:r>
          </w:p>
        </w:tc>
        <w:tc>
          <w:tcPr>
            <w:tcW w:type="dxa" w:w="1728"/>
            <w:vAlign w:val="top"/>
          </w:tcPr>
          <w:p>
            <w:r>
              <w:t>OPEN</w:t>
            </w:r>
          </w:p>
        </w:tc>
        <w:tc>
          <w:tcPr>
            <w:tcW w:type="dxa" w:w="6768"/>
            <w:vAlign w:val="top"/>
          </w:tcPr>
          <w:p>
            <w:r>
              <w:t>S1/S2/C/L/T/R action catalogs are typed, but a general exhaustive joint-action acceptance policy is not numerically complete for every reachable proposal state.</w:t>
            </w:r>
          </w:p>
        </w:tc>
      </w:tr>
    </w:tbl>
    <w:p>
      <w:pPr>
        <w:pStyle w:val="Heading1"/>
      </w:pPr>
      <w:r>
        <w:t>4. Oracle consequence</w:t>
      </w:r>
    </w:p>
    <w:p>
      <w:r>
        <w:t>The default completeness registry is reduced from twelve broad findings to five genuinely open areas. The oracle may enumerate and execute the seven closed families above without a special completeness disclaimer. However, because the open families can still create or remove recovery corridors, exhaustion of the default O1/O2 search remains UNDETERMINED unless the searched state/horizon proves those families unreachable or a separate local completeness certificate excludes them.</w:t>
      </w:r>
    </w:p>
    <w:p>
      <w:pPr>
        <w:pStyle w:val="Heading1"/>
      </w:pPr>
      <w:r>
        <w:t>5. Local completeness certificates</w:t>
      </w:r>
    </w:p>
    <w:p>
      <w:r>
        <w:t>A state/horizon-specific oracle search may certify PROVEN_INFEASIBLE even while the global registry is nonempty only if it records why every globally open family is unreachable, ineligible, or consequence-irrelevant throughout the exhaustive tree. This is a completeness certificate, not an assumption. The implementation must log the excluded family and the state predicate establishing exclusion.</w:t>
      </w:r>
    </w:p>
    <w:p>
      <w:pPr>
        <w:pStyle w:val="Heading1"/>
      </w:pPr>
      <w:r>
        <w:t>6. Freeze implication</w:t>
      </w:r>
    </w:p>
    <w:p>
      <w:r>
        <w:t>This audit closes false-positive semantic gaps but does not yet justify the general Calibration Lock. The remaining work is no longer physical arithmetic; it is to freeze or narrowly constrain counterpart acceptance/contract semantics for M-RESERVE-S2, M-RENEG-C, M-ORDER-S1/S2, M-CANCEL, and the remaining counterpart joint-action cases. Until then, primary A/B/C comparative execution remains locked.</w:t>
      </w:r>
    </w:p>
    <w:p>
      <w:pPr>
        <w:pStyle w:val="Heading1"/>
      </w:pPr>
      <w:r>
        <w:t>7. Authority note</w:t>
      </w:r>
    </w:p>
    <w:p>
      <w:r>
        <w:t>This document is benchmark-fixture authority only. It does not amend canonical PV-PP operators, scalar-proof authority, or general economic claims. Where it conflicts with v0.8 or the Pre-Implementation Freeze Manifest, those later controlling documents govern.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