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Asterion Revised Calibration Lock — Version 1.1</w:t>
      </w:r>
    </w:p>
    <w:p>
      <w:pPr>
        <w:jc w:val="center"/>
      </w:pPr>
      <w:r>
        <w:rPr>
          <w:b/>
          <w:sz w:val="20"/>
        </w:rPr>
        <w:t>Production-runner binding and execution authorization record • 31 August 2026</w:t>
      </w:r>
    </w:p>
    <w:p>
      <w:r>
        <w:rPr>
          <w:b/>
        </w:rPr>
        <w:t>STATUS: CALIBRATION LOCK REISSUED AGAINST THE PRODUCTION RUNNER.</w:t>
      </w:r>
    </w:p>
    <w:p>
      <w:r>
        <w:t>This v1.1 record supersedes only the execution-authorization clause of Calibration Lock v1.0. The earlier paper freeze, seed selection, action/contract closure fixtures, calibration values, and conformance history remain intact. The reason for reissue is the failed Primary Run Attempt v1, which correctly revealed that v1.0 had bound calibration projectors rather than a complete production runner.</w:t>
      </w:r>
    </w:p>
    <w:p>
      <w:pPr>
        <w:pStyle w:val="Heading1"/>
      </w:pPr>
      <w:r>
        <w:t>1. Bound Production Package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Item</w:t>
            </w:r>
          </w:p>
        </w:tc>
        <w:tc>
          <w:tcPr>
            <w:tcW w:type="dxa" w:w="5112"/>
            <w:vAlign w:val="center"/>
          </w:tcPr>
          <w:p>
            <w:r>
              <w:t>Status</w:t>
            </w:r>
          </w:p>
        </w:tc>
      </w:tr>
      <w:tr>
        <w:tc>
          <w:tcPr>
            <w:tcW w:type="dxa" w:w="5112"/>
            <w:vAlign w:val="center"/>
          </w:tcPr>
          <w:p>
            <w:r>
              <w:t>production.py SHA-256</w:t>
            </w:r>
          </w:p>
        </w:tc>
        <w:tc>
          <w:tcPr>
            <w:tcW w:type="dxa" w:w="5112"/>
            <w:vAlign w:val="center"/>
          </w:tcPr>
          <w:p>
            <w:r>
              <w:t>cb03283a11bc7427f4281e709736a0a3f4a300dc705b752c9cc85d055340eb18</w:t>
            </w:r>
          </w:p>
        </w:tc>
      </w:tr>
      <w:tr>
        <w:tc>
          <w:tcPr>
            <w:tcW w:type="dxa" w:w="5112"/>
            <w:vAlign w:val="center"/>
          </w:tcPr>
          <w:p>
            <w:r>
              <w:t>execution.py SHA-256</w:t>
            </w:r>
          </w:p>
        </w:tc>
        <w:tc>
          <w:tcPr>
            <w:tcW w:type="dxa" w:w="5112"/>
            <w:vAlign w:val="center"/>
          </w:tcPr>
          <w:p>
            <w:r>
              <w:t>b908dd4597551761c2fac34013499d21baca876a2c34d3245ce5d5b20584a469</w:t>
            </w:r>
          </w:p>
        </w:tc>
      </w:tr>
      <w:tr>
        <w:tc>
          <w:tcPr>
            <w:tcW w:type="dxa" w:w="5112"/>
            <w:vAlign w:val="center"/>
          </w:tcPr>
          <w:p>
            <w:r>
              <w:t>test_conformance.py SHA-256</w:t>
            </w:r>
          </w:p>
        </w:tc>
        <w:tc>
          <w:tcPr>
            <w:tcW w:type="dxa" w:w="5112"/>
            <w:vAlign w:val="center"/>
          </w:tcPr>
          <w:p>
            <w:r>
              <w:t>506bde811effd2640f7da60b6f69db4188282b6724701737226ec9d90a317f5e</w:t>
            </w:r>
          </w:p>
        </w:tc>
      </w:tr>
      <w:tr>
        <w:tc>
          <w:tcPr>
            <w:tcW w:type="dxa" w:w="5112"/>
            <w:vAlign w:val="center"/>
          </w:tcPr>
          <w:p>
            <w:r>
              <w:t>production_readiness.json SHA-256</w:t>
            </w:r>
          </w:p>
        </w:tc>
        <w:tc>
          <w:tcPr>
            <w:tcW w:type="dxa" w:w="5112"/>
            <w:vAlign w:val="center"/>
          </w:tcPr>
          <w:p>
            <w:r>
              <w:t>2c7d08f09247e4e3c07a83e4ee6a35e29a18291e7b60ac3f629cce97967a48e2</w:t>
            </w:r>
          </w:p>
        </w:tc>
      </w:tr>
    </w:tbl>
    <w:p>
      <w:pPr>
        <w:pStyle w:val="Heading1"/>
      </w:pPr>
      <w:r>
        <w:t>2. Frozen Computation Ceiling Revalidated</w:t>
      </w:r>
    </w:p>
    <w:p>
      <w:r>
        <w:t>The actual production A and B paths were tested on 40 controller-neutral fixtures under the frozen common ceiling: 10,000 public transition evaluations, 2.0 seconds wall-clock, maximum 256 stochastic projection paths, and a four-transition planning horizon.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Item</w:t>
            </w:r>
          </w:p>
        </w:tc>
        <w:tc>
          <w:tcPr>
            <w:tcW w:type="dxa" w:w="5112"/>
            <w:vAlign w:val="center"/>
          </w:tcPr>
          <w:p>
            <w:r>
              <w:t>Status</w:t>
            </w:r>
          </w:p>
        </w:tc>
      </w:tr>
      <w:tr>
        <w:tc>
          <w:tcPr>
            <w:tcW w:type="dxa" w:w="5112"/>
            <w:vAlign w:val="center"/>
          </w:tcPr>
          <w:p>
            <w:r>
              <w:t>A pass fraction</w:t>
            </w:r>
          </w:p>
        </w:tc>
        <w:tc>
          <w:tcPr>
            <w:tcW w:type="dxa" w:w="5112"/>
            <w:vAlign w:val="center"/>
          </w:tcPr>
          <w:p>
            <w:r>
              <w:t>100%</w:t>
            </w:r>
          </w:p>
        </w:tc>
      </w:tr>
      <w:tr>
        <w:tc>
          <w:tcPr>
            <w:tcW w:type="dxa" w:w="5112"/>
            <w:vAlign w:val="center"/>
          </w:tcPr>
          <w:p>
            <w:r>
              <w:t>B pass fraction</w:t>
            </w:r>
          </w:p>
        </w:tc>
        <w:tc>
          <w:tcPr>
            <w:tcW w:type="dxa" w:w="5112"/>
            <w:vAlign w:val="center"/>
          </w:tcPr>
          <w:p>
            <w:r>
              <w:t>100%</w:t>
            </w:r>
          </w:p>
        </w:tc>
      </w:tr>
      <w:tr>
        <w:tc>
          <w:tcPr>
            <w:tcW w:type="dxa" w:w="5112"/>
            <w:vAlign w:val="center"/>
          </w:tcPr>
          <w:p>
            <w:r>
              <w:t>Required fraction</w:t>
            </w:r>
          </w:p>
        </w:tc>
        <w:tc>
          <w:tcPr>
            <w:tcW w:type="dxa" w:w="5112"/>
            <w:vAlign w:val="center"/>
          </w:tcPr>
          <w:p>
            <w:r>
              <w:t>95%</w:t>
            </w:r>
          </w:p>
        </w:tc>
      </w:tr>
      <w:tr>
        <w:tc>
          <w:tcPr>
            <w:tcW w:type="dxa" w:w="5112"/>
            <w:vAlign w:val="center"/>
          </w:tcPr>
          <w:p>
            <w:r>
              <w:t>A maximum evaluations</w:t>
            </w:r>
          </w:p>
        </w:tc>
        <w:tc>
          <w:tcPr>
            <w:tcW w:type="dxa" w:w="5112"/>
            <w:vAlign w:val="center"/>
          </w:tcPr>
          <w:p>
            <w:r>
              <w:t>9576</w:t>
            </w:r>
          </w:p>
        </w:tc>
      </w:tr>
      <w:tr>
        <w:tc>
          <w:tcPr>
            <w:tcW w:type="dxa" w:w="5112"/>
            <w:vAlign w:val="center"/>
          </w:tcPr>
          <w:p>
            <w:r>
              <w:t>B maximum evaluations</w:t>
            </w:r>
          </w:p>
        </w:tc>
        <w:tc>
          <w:tcPr>
            <w:tcW w:type="dxa" w:w="5112"/>
            <w:vAlign w:val="center"/>
          </w:tcPr>
          <w:p>
            <w:r>
              <w:t>9576</w:t>
            </w:r>
          </w:p>
        </w:tc>
      </w:tr>
      <w:tr>
        <w:tc>
          <w:tcPr>
            <w:tcW w:type="dxa" w:w="5112"/>
            <w:vAlign w:val="center"/>
          </w:tcPr>
          <w:p>
            <w:r>
              <w:t>A maximum wall time</w:t>
            </w:r>
          </w:p>
        </w:tc>
        <w:tc>
          <w:tcPr>
            <w:tcW w:type="dxa" w:w="5112"/>
            <w:vAlign w:val="center"/>
          </w:tcPr>
          <w:p>
            <w:r>
              <w:t>0.1147 s</w:t>
            </w:r>
          </w:p>
        </w:tc>
      </w:tr>
      <w:tr>
        <w:tc>
          <w:tcPr>
            <w:tcW w:type="dxa" w:w="5112"/>
            <w:vAlign w:val="center"/>
          </w:tcPr>
          <w:p>
            <w:r>
              <w:t>B maximum wall time</w:t>
            </w:r>
          </w:p>
        </w:tc>
        <w:tc>
          <w:tcPr>
            <w:tcW w:type="dxa" w:w="5112"/>
            <w:vAlign w:val="center"/>
          </w:tcPr>
          <w:p>
            <w:r>
              <w:t>0.0670 s</w:t>
            </w:r>
          </w:p>
        </w:tc>
      </w:tr>
    </w:tbl>
    <w:p>
      <w:pPr>
        <w:pStyle w:val="Heading1"/>
      </w:pPr>
      <w:r>
        <w:t>3. Production-Specific Conformance</w:t>
      </w:r>
    </w:p>
    <w:p>
      <w:pPr>
        <w:pStyle w:val="ListBullet"/>
      </w:pPr>
      <w:r>
        <w:t>A, B, and C production controllers are separate from the earlier calibration projectors.</w:t>
      </w:r>
    </w:p>
    <w:p>
      <w:pPr>
        <w:pStyle w:val="ListBullet"/>
      </w:pPr>
      <w:r>
        <w:t>B implements 75% expected loss + 25% CVaR90; no placeholder risk objective remains in the production path.</w:t>
      </w:r>
    </w:p>
    <w:p>
      <w:pPr>
        <w:pStyle w:val="ListBullet"/>
      </w:pPr>
      <w:r>
        <w:t>A and B receive the same production root-action surface before architecture-specific selection.</w:t>
      </w:r>
    </w:p>
    <w:p>
      <w:pPr>
        <w:pStyle w:val="ListBullet"/>
      </w:pPr>
      <w:r>
        <w:t>All six economic roles receive separate regime-labelled controllers and sealed PRE packets in the homogeneous primary population.</w:t>
      </w:r>
    </w:p>
    <w:p>
      <w:pPr>
        <w:pStyle w:val="ListBullet"/>
      </w:pPr>
      <w:r>
        <w:t>Supplier shipment is controller-issued; the primary runner does not use the focal-M common-counterpart supply shortcut.</w:t>
      </w:r>
    </w:p>
    <w:p>
      <w:pPr>
        <w:pStyle w:val="ListBullet"/>
      </w:pPr>
      <w:r>
        <w:t>M routine production and shipment are submitted inside the controller action bundle.</w:t>
      </w:r>
    </w:p>
    <w:p>
      <w:pPr>
        <w:pStyle w:val="ListBullet"/>
      </w:pPr>
      <w:r>
        <w:t>P7 S2 opportunity closure occurs after the P7 action window.</w:t>
      </w:r>
    </w:p>
    <w:p>
      <w:pPr>
        <w:pStyle w:val="ListBullet"/>
      </w:pPr>
      <w:r>
        <w:t>The oracle remains diagnostic-only and is not exposed to controller packets.</w:t>
      </w:r>
    </w:p>
    <w:p>
      <w:pPr>
        <w:pStyle w:val="ListBullet"/>
      </w:pPr>
      <w:r>
        <w:t>Primary execution remains software-locked at the moment this record is written.</w:t>
      </w:r>
    </w:p>
    <w:p>
      <w:pPr>
        <w:pStyle w:val="Heading1"/>
      </w:pPr>
      <w:r>
        <w:t>4. Seed and Ensemble Lock</w:t>
      </w:r>
    </w:p>
    <w:p>
      <w:r>
        <w:t>The previously frozen controller-free seed recipe and ensemble selection remain unchanged: namespace PVPP-ASTERION-PRIMARY-SEEDS-v1; first 1,000 counter-ordered seeds; primary stochastic ensemble N = 1,000. No seed was added, removed, reordered, or selected using controller outcomes.</w:t>
      </w:r>
    </w:p>
    <w:p>
      <w:pPr>
        <w:pStyle w:val="Heading1"/>
      </w:pPr>
      <w:r>
        <w:t>5. Authorization</w:t>
      </w:r>
    </w:p>
    <w:p>
      <w:r>
        <w:t>The production implementation is now authorized for the frozen deterministic primary challenge and the paired N=1,000 stochastic A/B/C ensemble. Activation of the software execution gate is an auditable operator step and is not performed by creation of this document alone. No controller weights, stochastic severities, outcome definitions, seed ordering, or frozen paper rules may be changed after activation in response to observed results.</w:t>
      </w:r>
    </w:p>
    <w:p>
      <w:r>
        <w:rPr>
          <w:b/>
        </w:rPr>
        <w:t>AUTHORIZED FOR PRIMARY COMPARATIVE EXECUTION UPON EXPLICIT GATE ACTIVATION.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