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Asterion Production Runner Completion Record — Version 1.0</w:t>
      </w:r>
    </w:p>
    <w:p>
      <w:pPr>
        <w:jc w:val="center"/>
      </w:pPr>
      <w:r>
        <w:rPr>
          <w:b/>
          <w:sz w:val="20"/>
        </w:rPr>
        <w:t>Production implementation completion • 31 August 2026</w:t>
      </w:r>
    </w:p>
    <w:p>
      <w:r>
        <w:rPr>
          <w:b/>
        </w:rPr>
        <w:t>STATUS: PRODUCTION EXECUTION LAYER COMPLETE; PRIMARY COMPARATIVE EXECUTION REMAINS LOCKED.</w:t>
      </w:r>
    </w:p>
    <w:p>
      <w:r>
        <w:t>This record closes the implementation defect exposed by Primary Run Attempt v1. It documents completion of the production A/B/C execution path without generating or inspecting primary comparative outcomes.</w:t>
      </w:r>
    </w:p>
    <w:p>
      <w:pPr>
        <w:pStyle w:val="Heading1"/>
      </w:pPr>
      <w:r>
        <w:t>1. Defect Closed</w:t>
      </w:r>
    </w:p>
    <w:p>
      <w:pPr>
        <w:pStyle w:val="ListBullet"/>
      </w:pPr>
      <w:r>
        <w:t>The guarded primary entry point no longer terminates in NotImplementedError once authorized; it routes to a complete production runner.</w:t>
      </w:r>
    </w:p>
    <w:p>
      <w:pPr>
        <w:pStyle w:val="ListBullet"/>
      </w:pPr>
      <w:r>
        <w:t>Production A is separate from the calibration projector and performs structural candidate evaluation followed by Sigma selection.</w:t>
      </w:r>
    </w:p>
    <w:p>
      <w:pPr>
        <w:pStyle w:val="ListBullet"/>
      </w:pPr>
      <w:r>
        <w:t>Production B implements the frozen 75% expected normalized horizon loss + 25% CVaR90 objective over semantic-keyed stochastic projection paths.</w:t>
      </w:r>
    </w:p>
    <w:p>
      <w:pPr>
        <w:pStyle w:val="ListBullet"/>
      </w:pPr>
      <w:r>
        <w:t>Production C uses the frozen current/local priority architecture and four-period recent summary rather than a recovery-corridor optimizer.</w:t>
      </w:r>
    </w:p>
    <w:p>
      <w:pPr>
        <w:pStyle w:val="Heading1"/>
      </w:pPr>
      <w:r>
        <w:t>2. Homogeneous Multi-Agent Population</w:t>
      </w:r>
    </w:p>
    <w:p>
      <w:r>
        <w:t>The production runner now instantiates separate regime-labelled controller objects for M, S1, S2, C, L, and T. Every economic role receives a sealed PRE packet. Non-M roles use the narrow executable v1.0 action surface; common contract obligations may therefore lead to identical competent actions across regimes, but counterpart supply is no longer bypassed by a focal-M common-policy shortcut.</w:t>
      </w:r>
    </w:p>
    <w:p>
      <w:pPr>
        <w:pStyle w:val="ListBullet"/>
      </w:pPr>
      <w:r>
        <w:t>S1 and S2 shipment fulfillment is issued as controller action and realized through the common transition engine.</w:t>
      </w:r>
    </w:p>
    <w:p>
      <w:pPr>
        <w:pStyle w:val="ListBullet"/>
      </w:pPr>
      <w:r>
        <w:t>M submits routine production and shipment inside its controller action bundle, together with the selected current-period intervention.</w:t>
      </w:r>
    </w:p>
    <w:p>
      <w:pPr>
        <w:pStyle w:val="ListBullet"/>
      </w:pPr>
      <w:r>
        <w:t>R remains an institution governed by the frozen evidence trigger, not an economic comparator controller.</w:t>
      </w:r>
    </w:p>
    <w:p>
      <w:pPr>
        <w:pStyle w:val="Heading1"/>
      </w:pPr>
      <w:r>
        <w:t>3. Execution-Order Correction</w:t>
      </w:r>
    </w:p>
    <w:p>
      <w:r>
        <w:t>The production runner applies the S2 opportunity closure at the end of period 7, after the P7 action window, so a qualifying P7 reservation can prevent the P8 external encumbrance. This corrects an earlier calibration-runner shortcut and matches the frozen “by end P7” rule.</w:t>
      </w:r>
    </w:p>
    <w:p>
      <w:pPr>
        <w:pStyle w:val="Heading1"/>
      </w:pPr>
      <w:r>
        <w:t>4. Production Readiness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Item</w:t>
            </w:r>
          </w:p>
        </w:tc>
        <w:tc>
          <w:tcPr>
            <w:tcW w:type="dxa" w:w="5112"/>
            <w:vAlign w:val="center"/>
          </w:tcPr>
          <w:p>
            <w: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Automated suite</w:t>
            </w:r>
          </w:p>
        </w:tc>
        <w:tc>
          <w:tcPr>
            <w:tcW w:type="dxa" w:w="5112"/>
            <w:vAlign w:val="center"/>
          </w:tcPr>
          <w:p>
            <w:r>
              <w:t>56 / 56 PASS</w:t>
            </w:r>
          </w:p>
        </w:tc>
      </w:tr>
      <w:tr>
        <w:tc>
          <w:tcPr>
            <w:tcW w:type="dxa" w:w="5112"/>
            <w:vAlign w:val="center"/>
          </w:tcPr>
          <w:p>
            <w:r>
              <w:t>Neutral readiness fixtures</w:t>
            </w:r>
          </w:p>
        </w:tc>
        <w:tc>
          <w:tcPr>
            <w:tcW w:type="dxa" w:w="5112"/>
            <w:vAlign w:val="center"/>
          </w:tcPr>
          <w:p>
            <w:r>
              <w:t>40</w:t>
            </w:r>
          </w:p>
        </w:tc>
      </w:tr>
      <w:tr>
        <w:tc>
          <w:tcPr>
            <w:tcW w:type="dxa" w:w="5112"/>
            <w:vAlign w:val="center"/>
          </w:tcPr>
          <w:p>
            <w:r>
              <w:t>A full-root evaluation pass fraction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B full-root evaluation pass fraction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A/B common root surface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A maximum transition evaluations</w:t>
            </w:r>
          </w:p>
        </w:tc>
        <w:tc>
          <w:tcPr>
            <w:tcW w:type="dxa" w:w="5112"/>
            <w:vAlign w:val="center"/>
          </w:tcPr>
          <w:p>
            <w:r>
              <w:t>9576</w:t>
            </w:r>
          </w:p>
        </w:tc>
      </w:tr>
      <w:tr>
        <w:tc>
          <w:tcPr>
            <w:tcW w:type="dxa" w:w="5112"/>
            <w:vAlign w:val="center"/>
          </w:tcPr>
          <w:p>
            <w:r>
              <w:t>B maximum transition evaluations</w:t>
            </w:r>
          </w:p>
        </w:tc>
        <w:tc>
          <w:tcPr>
            <w:tcW w:type="dxa" w:w="5112"/>
            <w:vAlign w:val="center"/>
          </w:tcPr>
          <w:p>
            <w:r>
              <w:t>9576</w:t>
            </w:r>
          </w:p>
        </w:tc>
      </w:tr>
      <w:tr>
        <w:tc>
          <w:tcPr>
            <w:tcW w:type="dxa" w:w="5112"/>
            <w:vAlign w:val="center"/>
          </w:tcPr>
          <w:p>
            <w:r>
              <w:t>A maximum measured wall time</w:t>
            </w:r>
          </w:p>
        </w:tc>
        <w:tc>
          <w:tcPr>
            <w:tcW w:type="dxa" w:w="5112"/>
            <w:vAlign w:val="center"/>
          </w:tcPr>
          <w:p>
            <w:r>
              <w:t>0.1147 s</w:t>
            </w:r>
          </w:p>
        </w:tc>
      </w:tr>
      <w:tr>
        <w:tc>
          <w:tcPr>
            <w:tcW w:type="dxa" w:w="5112"/>
            <w:vAlign w:val="center"/>
          </w:tcPr>
          <w:p>
            <w:r>
              <w:t>B maximum measured wall time</w:t>
            </w:r>
          </w:p>
        </w:tc>
        <w:tc>
          <w:tcPr>
            <w:tcW w:type="dxa" w:w="5112"/>
            <w:vAlign w:val="center"/>
          </w:tcPr>
          <w:p>
            <w:r>
              <w:t>0.0670 s</w:t>
            </w:r>
          </w:p>
        </w:tc>
      </w:tr>
      <w:tr>
        <w:tc>
          <w:tcPr>
            <w:tcW w:type="dxa" w:w="5112"/>
            <w:vAlign w:val="center"/>
          </w:tcPr>
          <w:p>
            <w:r>
              <w:t>B expected + CVaR90 path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outcomes generated</w:t>
            </w:r>
          </w:p>
        </w:tc>
        <w:tc>
          <w:tcPr>
            <w:tcW w:type="dxa" w:w="5112"/>
            <w:vAlign w:val="center"/>
          </w:tcPr>
          <w:p>
            <w:r>
              <w:t>NO</w:t>
            </w:r>
          </w:p>
        </w:tc>
      </w:tr>
    </w:tbl>
    <w:p>
      <w:pPr>
        <w:pStyle w:val="Heading1"/>
      </w:pPr>
      <w:r>
        <w:t>5. Remaining Authorization Boundary</w:t>
      </w:r>
    </w:p>
    <w:p>
      <w:r>
        <w:t>This completion record does not itself switch on comparative execution. The software gate remains false. A revised Calibration Lock must bind this production package and explicitly authorize activation before deterministic or N=1,000 primary outcomes are generated.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