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PV-PP INTERNAL BENCHMARK PROGRAM</w:t>
      </w:r>
    </w:p>
    <w:p>
      <w:pPr>
        <w:pStyle w:val="Title"/>
        <w:jc w:val="center"/>
      </w:pPr>
      <w:r>
        <w:t>Integrated Multi-Agent Productive System Stress Benchmark</w:t>
      </w:r>
    </w:p>
    <w:p>
      <w:pPr>
        <w:jc w:val="center"/>
      </w:pPr>
      <w:r>
        <w:rPr>
          <w:b/>
          <w:sz w:val="26"/>
        </w:rPr>
        <w:t>Pre-Freeze Resolution Addendum - Version 0.8</w:t>
      </w:r>
    </w:p>
    <w:p>
      <w:pPr>
        <w:jc w:val="center"/>
      </w:pPr>
      <w:r>
        <w:t>Controlled Audit-Resolution Package</w:t>
        <w:br/>
        <w:t>31 August 2026</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Field</w:t>
            </w:r>
          </w:p>
        </w:tc>
        <w:tc>
          <w:tcPr>
            <w:tcW w:type="dxa" w:w="5040"/>
            <w:vAlign w:val="top"/>
            <w:shd w:fill="D9E2F3"/>
          </w:tcPr>
          <w:p>
            <w:r/>
            <w:r>
              <w:rPr>
                <w:rFonts w:ascii="Aptos" w:hAnsi="Aptos"/>
                <w:b/>
                <w:sz w:val="15"/>
              </w:rPr>
              <w:t>Resolution</w:t>
            </w:r>
          </w:p>
        </w:tc>
      </w:tr>
      <w:tr>
        <w:tc>
          <w:tcPr>
            <w:tcW w:type="dxa" w:w="5040"/>
            <w:vAlign w:val="top"/>
          </w:tcPr>
          <w:p>
            <w:r/>
            <w:r>
              <w:rPr>
                <w:rFonts w:ascii="Aptos" w:hAnsi="Aptos"/>
                <w:b w:val="0"/>
                <w:sz w:val="14"/>
              </w:rPr>
              <w:t>Status</w:t>
            </w:r>
          </w:p>
        </w:tc>
        <w:tc>
          <w:tcPr>
            <w:tcW w:type="dxa" w:w="5040"/>
            <w:vAlign w:val="top"/>
          </w:tcPr>
          <w:p>
            <w:r/>
            <w:r>
              <w:rPr>
                <w:rFonts w:ascii="Aptos" w:hAnsi="Aptos"/>
                <w:b w:val="0"/>
                <w:sz w:val="14"/>
              </w:rPr>
              <w:t>Controlled pre-freeze addendum. It resolves specification choices; it does not authorize comparative benchmark execution.</w:t>
            </w:r>
          </w:p>
        </w:tc>
      </w:tr>
      <w:tr>
        <w:tc>
          <w:tcPr>
            <w:tcW w:type="dxa" w:w="5040"/>
            <w:vAlign w:val="top"/>
          </w:tcPr>
          <w:p>
            <w:r/>
            <w:r>
              <w:rPr>
                <w:rFonts w:ascii="Aptos" w:hAnsi="Aptos"/>
                <w:b w:val="0"/>
                <w:sz w:val="14"/>
              </w:rPr>
              <w:t>Controlling audit</w:t>
            </w:r>
          </w:p>
        </w:tc>
        <w:tc>
          <w:tcPr>
            <w:tcW w:type="dxa" w:w="5040"/>
            <w:vAlign w:val="top"/>
          </w:tcPr>
          <w:p>
            <w:r/>
            <w:r>
              <w:rPr>
                <w:rFonts w:ascii="Aptos" w:hAnsi="Aptos"/>
                <w:b w:val="0"/>
                <w:sz w:val="14"/>
              </w:rPr>
              <w:t>Paper-Only Consistency and Structural-Favoritism Audit v0.7.</w:t>
            </w:r>
          </w:p>
        </w:tc>
      </w:tr>
      <w:tr>
        <w:tc>
          <w:tcPr>
            <w:tcW w:type="dxa" w:w="5040"/>
            <w:vAlign w:val="top"/>
          </w:tcPr>
          <w:p>
            <w:r/>
            <w:r>
              <w:rPr>
                <w:rFonts w:ascii="Aptos" w:hAnsi="Aptos"/>
                <w:b w:val="0"/>
                <w:sz w:val="14"/>
              </w:rPr>
              <w:t>Scope</w:t>
            </w:r>
          </w:p>
        </w:tc>
        <w:tc>
          <w:tcPr>
            <w:tcW w:type="dxa" w:w="5040"/>
            <w:vAlign w:val="top"/>
          </w:tcPr>
          <w:p>
            <w:r/>
            <w:r>
              <w:rPr>
                <w:rFonts w:ascii="Aptos" w:hAnsi="Aptos"/>
                <w:b w:val="0"/>
                <w:sz w:val="14"/>
              </w:rPr>
              <w:t>Close B1-B12, H1-H9, and C1-C10 without adding new Asterion mechanisms.</w:t>
            </w:r>
          </w:p>
        </w:tc>
      </w:tr>
      <w:tr>
        <w:tc>
          <w:tcPr>
            <w:tcW w:type="dxa" w:w="5040"/>
            <w:vAlign w:val="top"/>
          </w:tcPr>
          <w:p>
            <w:r/>
            <w:r>
              <w:rPr>
                <w:rFonts w:ascii="Aptos" w:hAnsi="Aptos"/>
                <w:b w:val="0"/>
                <w:sz w:val="14"/>
              </w:rPr>
              <w:t>Authority rule</w:t>
            </w:r>
          </w:p>
        </w:tc>
        <w:tc>
          <w:tcPr>
            <w:tcW w:type="dxa" w:w="5040"/>
            <w:vAlign w:val="top"/>
          </w:tcPr>
          <w:p>
            <w:r/>
            <w:r>
              <w:rPr>
                <w:rFonts w:ascii="Aptos" w:hAnsi="Aptos"/>
                <w:b w:val="0"/>
                <w:sz w:val="14"/>
              </w:rPr>
              <w:t>Canonical PV-PP behavior is taken from live authority where found. Benchmark-owned choices are explicitly labeled fixtures and do not become framework doctrine.</w:t>
            </w:r>
          </w:p>
        </w:tc>
      </w:tr>
      <w:tr>
        <w:tc>
          <w:tcPr>
            <w:tcW w:type="dxa" w:w="5040"/>
            <w:vAlign w:val="top"/>
          </w:tcPr>
          <w:p>
            <w:r/>
            <w:r>
              <w:rPr>
                <w:rFonts w:ascii="Aptos" w:hAnsi="Aptos"/>
                <w:b w:val="0"/>
                <w:sz w:val="14"/>
              </w:rPr>
              <w:t>Current disposition</w:t>
            </w:r>
          </w:p>
        </w:tc>
        <w:tc>
          <w:tcPr>
            <w:tcW w:type="dxa" w:w="5040"/>
            <w:vAlign w:val="top"/>
          </w:tcPr>
          <w:p>
            <w:r/>
            <w:r>
              <w:rPr>
                <w:rFonts w:ascii="Aptos" w:hAnsi="Aptos"/>
                <w:b w:val="0"/>
                <w:sz w:val="14"/>
              </w:rPr>
              <w:t>Substantially resolved on paper. Four items remain calibration/verification gates before the final Pre-Freeze Manifest: computation-budget calibration, stochastic ensemble sizing, manual trace execution, and closure audit.</w:t>
            </w:r>
          </w:p>
        </w:tc>
      </w:tr>
    </w:tbl>
    <w:p>
      <w:pPr>
        <w:spacing w:after="20"/>
      </w:pPr>
    </w:p>
    <w:p>
      <w:pPr>
        <w:pStyle w:val="Heading1"/>
      </w:pPr>
      <w:r>
        <w:t>1. Purpose and Control Rule</w:t>
      </w:r>
    </w:p>
    <w:p>
      <w:r>
        <w:t>This addendum converts the v0.7 audit backlog into explicit pre-implementation decisions. It is intentionally conservative: it closes discretion that could otherwise enter during coding, but it does not redesign the benchmark, create new PV-PP operators, or convert benchmark parameters into canonical theory.</w:t>
      </w:r>
    </w:p>
    <w:p>
      <w:r>
        <w:t>Where an earlier benchmark document used 'proposed,' 'recommended,' or left an implementation choice open, the resolutions below control unless a later narrow patch explicitly supersedes them. Where canonical PV-PP authority is still parameterized rather than architecturally silent, the benchmark uses a declared benchmark fixture inside the canonical envelope and records that fact.</w:t>
      </w:r>
    </w:p>
    <w:p>
      <w:pPr>
        <w:pStyle w:val="Heading1"/>
      </w:pPr>
      <w:r>
        <w:t>2. Authority Resolution: Sigma and Fallback (B1)</w:t>
      </w:r>
    </w:p>
    <w:p>
      <w:r>
        <w:t>The audit's B1 concern is resolved at the architectural level. The canonical Selection Operator defines three strictly ordered modes: standard selection from adequate policies; recovery-unavailable fallback from valid but inadequate policies; and terminal infeasibility when no valid policy exists. Fallback is internal to Sigma, not a new operator.</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Condition</w:t>
            </w:r>
          </w:p>
        </w:tc>
        <w:tc>
          <w:tcPr>
            <w:tcW w:type="dxa" w:w="5040"/>
            <w:vAlign w:val="top"/>
            <w:shd w:fill="D9E2F3"/>
          </w:tcPr>
          <w:p>
            <w:r/>
            <w:r>
              <w:rPr>
                <w:rFonts w:ascii="Aptos" w:hAnsi="Aptos"/>
                <w:b/>
                <w:sz w:val="15"/>
              </w:rPr>
              <w:t>Benchmark implementation rule</w:t>
            </w:r>
          </w:p>
        </w:tc>
      </w:tr>
      <w:tr>
        <w:tc>
          <w:tcPr>
            <w:tcW w:type="dxa" w:w="5040"/>
            <w:vAlign w:val="top"/>
          </w:tcPr>
          <w:p>
            <w:r/>
            <w:r>
              <w:rPr>
                <w:rFonts w:ascii="Aptos" w:hAnsi="Aptos"/>
                <w:b w:val="0"/>
                <w:sz w:val="14"/>
              </w:rPr>
              <w:t>Adequate set nonempty</w:t>
            </w:r>
          </w:p>
        </w:tc>
        <w:tc>
          <w:tcPr>
            <w:tcW w:type="dxa" w:w="5040"/>
            <w:vAlign w:val="top"/>
          </w:tcPr>
          <w:p>
            <w:r/>
            <w:r>
              <w:rPr>
                <w:rFonts w:ascii="Aptos" w:hAnsi="Aptos"/>
                <w:b w:val="0"/>
                <w:sz w:val="14"/>
              </w:rPr>
              <w:t>Select only from adequate policies. Apply governing-domain non-domination, then permitted all-domain non-scalar refinement among governing-tied policies, then deterministic tie resolution.</w:t>
            </w:r>
          </w:p>
        </w:tc>
      </w:tr>
      <w:tr>
        <w:tc>
          <w:tcPr>
            <w:tcW w:type="dxa" w:w="5040"/>
            <w:vAlign w:val="top"/>
          </w:tcPr>
          <w:p>
            <w:r/>
            <w:r>
              <w:rPr>
                <w:rFonts w:ascii="Aptos" w:hAnsi="Aptos"/>
                <w:b w:val="0"/>
                <w:sz w:val="14"/>
              </w:rPr>
              <w:t>Adequate empty; valid nonempty</w:t>
            </w:r>
          </w:p>
        </w:tc>
        <w:tc>
          <w:tcPr>
            <w:tcW w:type="dxa" w:w="5040"/>
            <w:vAlign w:val="top"/>
          </w:tcPr>
          <w:p>
            <w:r/>
            <w:r>
              <w:rPr>
                <w:rFonts w:ascii="Aptos" w:hAnsi="Aptos"/>
                <w:b w:val="0"/>
                <w:sz w:val="14"/>
              </w:rPr>
              <w:t>Enter recovery-unavailable fallback. Compare governing collapse structure; use Pareto filtering, lexicographic ordered governing-collapse comparison, bounded structural override only where canonical prerequisites are met, then lower-tier structural refinement and deterministic final tie resolution.</w:t>
            </w:r>
          </w:p>
        </w:tc>
      </w:tr>
      <w:tr>
        <w:tc>
          <w:tcPr>
            <w:tcW w:type="dxa" w:w="5040"/>
            <w:vAlign w:val="top"/>
          </w:tcPr>
          <w:p>
            <w:r/>
            <w:r>
              <w:rPr>
                <w:rFonts w:ascii="Aptos" w:hAnsi="Aptos"/>
                <w:b w:val="0"/>
                <w:sz w:val="14"/>
              </w:rPr>
              <w:t>Valid set empty</w:t>
            </w:r>
          </w:p>
        </w:tc>
        <w:tc>
          <w:tcPr>
            <w:tcW w:type="dxa" w:w="5040"/>
            <w:vAlign w:val="top"/>
          </w:tcPr>
          <w:p>
            <w:r/>
            <w:r>
              <w:rPr>
                <w:rFonts w:ascii="Aptos" w:hAnsi="Aptos"/>
                <w:b w:val="0"/>
                <w:sz w:val="14"/>
              </w:rPr>
              <w:t>Enter terminal infeasibility. Use the canonical ordered violation-minimization structure; do not pretend the selected policy is feasible or adequate.</w:t>
            </w:r>
          </w:p>
        </w:tc>
      </w:tr>
      <w:tr>
        <w:tc>
          <w:tcPr>
            <w:tcW w:type="dxa" w:w="5040"/>
            <w:vAlign w:val="top"/>
          </w:tcPr>
          <w:p>
            <w:r/>
            <w:r>
              <w:rPr>
                <w:rFonts w:ascii="Aptos" w:hAnsi="Aptos"/>
                <w:b w:val="0"/>
                <w:sz w:val="14"/>
              </w:rPr>
              <w:t>Final unresolved tie</w:t>
            </w:r>
          </w:p>
        </w:tc>
        <w:tc>
          <w:tcPr>
            <w:tcW w:type="dxa" w:w="5040"/>
            <w:vAlign w:val="top"/>
          </w:tcPr>
          <w:p>
            <w:r/>
            <w:r>
              <w:rPr>
                <w:rFonts w:ascii="Aptos" w:hAnsi="Aptos"/>
                <w:b w:val="0"/>
                <w:sz w:val="14"/>
              </w:rPr>
              <w:t>Use a fixed deterministic policy-order convention. Policy IDs are sorted by the frozen benchmark action-family order, then parameter tuple, then stable action ID. No scalar or random tie-breaking.</w:t>
            </w:r>
          </w:p>
        </w:tc>
      </w:tr>
      <w:tr>
        <w:tc>
          <w:tcPr>
            <w:tcW w:type="dxa" w:w="5040"/>
            <w:vAlign w:val="top"/>
          </w:tcPr>
          <w:p>
            <w:r/>
            <w:r>
              <w:rPr>
                <w:rFonts w:ascii="Aptos" w:hAnsi="Aptos"/>
                <w:b w:val="0"/>
                <w:sz w:val="14"/>
              </w:rPr>
              <w:t>Execution</w:t>
            </w:r>
          </w:p>
        </w:tc>
        <w:tc>
          <w:tcPr>
            <w:tcW w:type="dxa" w:w="5040"/>
            <w:vAlign w:val="top"/>
          </w:tcPr>
          <w:p>
            <w:r/>
            <w:r>
              <w:rPr>
                <w:rFonts w:ascii="Aptos" w:hAnsi="Aptos"/>
                <w:b w:val="0"/>
                <w:sz w:val="14"/>
              </w:rPr>
              <w:t>epsilon realizes the selected policy; it does not re-rank, repair, or replace Sigma.</w:t>
            </w:r>
          </w:p>
        </w:tc>
      </w:tr>
    </w:tbl>
    <w:p>
      <w:pPr>
        <w:spacing w:after="20"/>
      </w:pPr>
    </w:p>
    <w:p>
      <w:r>
        <w:t>Important residual boundary: canonical Sigma documentation still identifies some fallback parameterization as unfinished, including domain-dependent structural-override margins and categorical representation of severe irreversible governing-critical damage. For this benchmark, those values/classifications must be supplied upstream as explicit benchmark fixtures and must remain narrow enough that the benchmark is not silently rewriting Sigma.</w:t>
      </w:r>
    </w:p>
    <w:p>
      <w:pPr>
        <w:pStyle w:val="Heading1"/>
      </w:pPr>
      <w:r>
        <w:t>3. Benchmark Fixture for Sigma Structural Override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Fixture</w:t>
            </w:r>
          </w:p>
        </w:tc>
        <w:tc>
          <w:tcPr>
            <w:tcW w:type="dxa" w:w="5040"/>
            <w:vAlign w:val="top"/>
            <w:shd w:fill="D9E2F3"/>
          </w:tcPr>
          <w:p>
            <w:r/>
            <w:r>
              <w:rPr>
                <w:rFonts w:ascii="Aptos" w:hAnsi="Aptos"/>
                <w:b/>
                <w:sz w:val="15"/>
              </w:rPr>
              <w:t>Frozen pre-implementation rule</w:t>
            </w:r>
          </w:p>
        </w:tc>
      </w:tr>
      <w:tr>
        <w:tc>
          <w:tcPr>
            <w:tcW w:type="dxa" w:w="5040"/>
            <w:vAlign w:val="top"/>
          </w:tcPr>
          <w:p>
            <w:r/>
            <w:r>
              <w:rPr>
                <w:rFonts w:ascii="Aptos" w:hAnsi="Aptos"/>
                <w:b w:val="0"/>
                <w:sz w:val="14"/>
              </w:rPr>
              <w:t>Override eligibility</w:t>
            </w:r>
          </w:p>
        </w:tc>
        <w:tc>
          <w:tcPr>
            <w:tcW w:type="dxa" w:w="5040"/>
            <w:vAlign w:val="top"/>
          </w:tcPr>
          <w:p>
            <w:r/>
            <w:r>
              <w:rPr>
                <w:rFonts w:ascii="Aptos" w:hAnsi="Aptos"/>
                <w:b w:val="0"/>
                <w:sz w:val="14"/>
              </w:rPr>
              <w:t>Only in recovery-unavailable fallback after lexicographic governing-collapse ordering identifies a winner.</w:t>
            </w:r>
          </w:p>
        </w:tc>
      </w:tr>
      <w:tr>
        <w:tc>
          <w:tcPr>
            <w:tcW w:type="dxa" w:w="5040"/>
            <w:vAlign w:val="top"/>
          </w:tcPr>
          <w:p>
            <w:r/>
            <w:r>
              <w:rPr>
                <w:rFonts w:ascii="Aptos" w:hAnsi="Aptos"/>
                <w:b w:val="0"/>
                <w:sz w:val="14"/>
              </w:rPr>
              <w:t>Marginality</w:t>
            </w:r>
          </w:p>
        </w:tc>
        <w:tc>
          <w:tcPr>
            <w:tcW w:type="dxa" w:w="5040"/>
            <w:vAlign w:val="top"/>
          </w:tcPr>
          <w:p>
            <w:r/>
            <w:r>
              <w:rPr>
                <w:rFonts w:ascii="Aptos" w:hAnsi="Aptos"/>
                <w:b w:val="0"/>
                <w:sz w:val="14"/>
              </w:rPr>
              <w:t>Override may be considered only when the first differing ordered collapse horizon differs by no more than one benchmark period.</w:t>
            </w:r>
          </w:p>
        </w:tc>
      </w:tr>
      <w:tr>
        <w:tc>
          <w:tcPr>
            <w:tcW w:type="dxa" w:w="5040"/>
            <w:vAlign w:val="top"/>
          </w:tcPr>
          <w:p>
            <w:r/>
            <w:r>
              <w:rPr>
                <w:rFonts w:ascii="Aptos" w:hAnsi="Aptos"/>
                <w:b w:val="0"/>
                <w:sz w:val="14"/>
              </w:rPr>
              <w:t>Structural damage</w:t>
            </w:r>
          </w:p>
        </w:tc>
        <w:tc>
          <w:tcPr>
            <w:tcW w:type="dxa" w:w="5040"/>
            <w:vAlign w:val="top"/>
          </w:tcPr>
          <w:p>
            <w:r/>
            <w:r>
              <w:rPr>
                <w:rFonts w:ascii="Aptos" w:hAnsi="Aptos"/>
                <w:b w:val="0"/>
                <w:sz w:val="14"/>
              </w:rPr>
              <w:t>The losing-on-horizon policy must avoid a categorical irreversible loss of a structure already marked upstream as governingly critical/recovery-necessary.</w:t>
            </w:r>
          </w:p>
        </w:tc>
      </w:tr>
      <w:tr>
        <w:tc>
          <w:tcPr>
            <w:tcW w:type="dxa" w:w="5040"/>
            <w:vAlign w:val="top"/>
          </w:tcPr>
          <w:p>
            <w:r/>
            <w:r>
              <w:rPr>
                <w:rFonts w:ascii="Aptos" w:hAnsi="Aptos"/>
                <w:b w:val="0"/>
                <w:sz w:val="14"/>
              </w:rPr>
              <w:t>Categorical examples</w:t>
            </w:r>
          </w:p>
        </w:tc>
        <w:tc>
          <w:tcPr>
            <w:tcW w:type="dxa" w:w="5040"/>
            <w:vAlign w:val="top"/>
          </w:tcPr>
          <w:p>
            <w:r/>
            <w:r>
              <w:rPr>
                <w:rFonts w:ascii="Aptos" w:hAnsi="Aptos"/>
                <w:b w:val="0"/>
                <w:sz w:val="14"/>
              </w:rPr>
              <w:t>S1 irreversible exit when S1 is the only currently reachable certified corridor; C termination when no alternate market is reachable; irreversible financing closure when financing is required for the only reachable qualification/recovery corridor.</w:t>
            </w:r>
          </w:p>
        </w:tc>
      </w:tr>
      <w:tr>
        <w:tc>
          <w:tcPr>
            <w:tcW w:type="dxa" w:w="5040"/>
            <w:vAlign w:val="top"/>
          </w:tcPr>
          <w:p>
            <w:r/>
            <w:r>
              <w:rPr>
                <w:rFonts w:ascii="Aptos" w:hAnsi="Aptos"/>
                <w:b w:val="0"/>
                <w:sz w:val="14"/>
              </w:rPr>
              <w:t>Non-qualifying differences</w:t>
            </w:r>
          </w:p>
        </w:tc>
        <w:tc>
          <w:tcPr>
            <w:tcW w:type="dxa" w:w="5040"/>
            <w:vAlign w:val="top"/>
          </w:tcPr>
          <w:p>
            <w:r/>
            <w:r>
              <w:rPr>
                <w:rFonts w:ascii="Aptos" w:hAnsi="Aptos"/>
                <w:b w:val="0"/>
                <w:sz w:val="14"/>
              </w:rPr>
              <w:t>Ordinary cost, inconvenience, reversible inventory loss, minor delay, or noncritical optionality loss.</w:t>
            </w:r>
          </w:p>
        </w:tc>
      </w:tr>
      <w:tr>
        <w:tc>
          <w:tcPr>
            <w:tcW w:type="dxa" w:w="5040"/>
            <w:vAlign w:val="top"/>
          </w:tcPr>
          <w:p>
            <w:r/>
            <w:r>
              <w:rPr>
                <w:rFonts w:ascii="Aptos" w:hAnsi="Aptos"/>
                <w:b w:val="0"/>
                <w:sz w:val="14"/>
              </w:rPr>
              <w:t>Large horizon difference</w:t>
            </w:r>
          </w:p>
        </w:tc>
        <w:tc>
          <w:tcPr>
            <w:tcW w:type="dxa" w:w="5040"/>
            <w:vAlign w:val="top"/>
          </w:tcPr>
          <w:p>
            <w:r/>
            <w:r>
              <w:rPr>
                <w:rFonts w:ascii="Aptos" w:hAnsi="Aptos"/>
                <w:b w:val="0"/>
                <w:sz w:val="14"/>
              </w:rPr>
              <w:t>Never overridden when the first differing governing collapse horizon exceeds one period.</w:t>
            </w:r>
          </w:p>
        </w:tc>
      </w:tr>
      <w:tr>
        <w:tc>
          <w:tcPr>
            <w:tcW w:type="dxa" w:w="5040"/>
            <w:vAlign w:val="top"/>
          </w:tcPr>
          <w:p>
            <w:r/>
            <w:r>
              <w:rPr>
                <w:rFonts w:ascii="Aptos" w:hAnsi="Aptos"/>
                <w:b w:val="0"/>
                <w:sz w:val="14"/>
              </w:rPr>
              <w:t>Authority status</w:t>
            </w:r>
          </w:p>
        </w:tc>
        <w:tc>
          <w:tcPr>
            <w:tcW w:type="dxa" w:w="5040"/>
            <w:vAlign w:val="top"/>
          </w:tcPr>
          <w:p>
            <w:r/>
            <w:r>
              <w:rPr>
                <w:rFonts w:ascii="Aptos" w:hAnsi="Aptos"/>
                <w:b w:val="0"/>
                <w:sz w:val="14"/>
              </w:rPr>
              <w:t>Benchmark parameterization of a canonical bounded-override envelope; not a universal PV-PP constant.</w:t>
            </w:r>
          </w:p>
        </w:tc>
      </w:tr>
    </w:tbl>
    <w:p>
      <w:pPr>
        <w:spacing w:after="20"/>
      </w:pPr>
    </w:p>
    <w:p>
      <w:pPr>
        <w:pStyle w:val="Heading1"/>
      </w:pPr>
      <w:r>
        <w:t>4. PV-PP Candidate, Projection, and Search Contract (B2)</w:t>
      </w:r>
    </w:p>
    <w:p>
      <w:r>
        <w:t>PV-PP search is frozen as an implementation of the existing Graph/Pi/Pi-completeness architecture, not as a new optimization operator.</w:t>
      </w:r>
    </w:p>
    <w:p>
      <w:pPr>
        <w:spacing w:after="20"/>
        <w:ind w:left="317" w:hanging="259"/>
      </w:pPr>
      <w:r>
        <w:rPr>
          <w:b/>
        </w:rPr>
        <w:t xml:space="preserve">1. </w:t>
      </w:r>
      <w:r>
        <w:t>Construct the common role-valid world action grammar from the v0.4 action specification.</w:t>
      </w:r>
    </w:p>
    <w:p>
      <w:pPr>
        <w:spacing w:after="20"/>
        <w:ind w:left="317" w:hanging="259"/>
      </w:pPr>
      <w:r>
        <w:rPr>
          <w:b/>
        </w:rPr>
        <w:t xml:space="preserve">2. </w:t>
      </w:r>
      <w:r>
        <w:t>Apply the v0.3 licensed-affordance boundary. Unknown oracle-only actions never enter the controller surface.</w:t>
      </w:r>
    </w:p>
    <w:p>
      <w:pPr>
        <w:spacing w:after="20"/>
        <w:ind w:left="317" w:hanging="259"/>
      </w:pPr>
      <w:r>
        <w:rPr>
          <w:b/>
        </w:rPr>
        <w:t xml:space="preserve">3. </w:t>
      </w:r>
      <w:r>
        <w:t>Build the agent's Graph/seed substrate from current PPP, legitimate records, retrieved typed memory, commitments, permissions, and known/latent/uncertain pathway evidence.</w:t>
      </w:r>
    </w:p>
    <w:p>
      <w:pPr>
        <w:spacing w:after="20"/>
        <w:ind w:left="317" w:hanging="259"/>
      </w:pPr>
      <w:r>
        <w:rPr>
          <w:b/>
        </w:rPr>
        <w:t xml:space="preserve">4. </w:t>
      </w:r>
      <w:r>
        <w:t>Generate Pi candidates by instantiating materially distinct action families and parameter tuples from that licensed substrate.</w:t>
      </w:r>
    </w:p>
    <w:p>
      <w:pPr>
        <w:spacing w:after="20"/>
        <w:ind w:left="317" w:hanging="259"/>
      </w:pPr>
      <w:r>
        <w:rPr>
          <w:b/>
        </w:rPr>
        <w:t xml:space="preserve">5. </w:t>
      </w:r>
      <w:r>
        <w:t>Run contaminated-substrate handoff labeling: Active, Latent, Materially omitted, Uncertain, Fabricated, or Blocked. Status is governance metadata, not a new ontology.</w:t>
      </w:r>
    </w:p>
    <w:p>
      <w:pPr>
        <w:spacing w:after="20"/>
        <w:ind w:left="317" w:hanging="259"/>
      </w:pPr>
      <w:r>
        <w:rPr>
          <w:b/>
        </w:rPr>
        <w:t xml:space="preserve">6. </w:t>
      </w:r>
      <w:r>
        <w:t>Pi-completeness must challenge materially omitted known/latent/uncertain families and must block self-certification when material omission/fabrication is unresolved. It may not invent a truly unknown hidden path.</w:t>
      </w:r>
    </w:p>
    <w:p>
      <w:pPr>
        <w:spacing w:after="20"/>
        <w:ind w:left="317" w:hanging="259"/>
      </w:pPr>
      <w:r>
        <w:rPr>
          <w:b/>
        </w:rPr>
        <w:t xml:space="preserve">7. </w:t>
      </w:r>
      <w:r>
        <w:t>Project each surviving candidate through the same public world-transition interface available to B, over the common horizon and common uncertainty scenarios.</w:t>
      </w:r>
    </w:p>
    <w:p>
      <w:pPr>
        <w:spacing w:after="20"/>
        <w:ind w:left="317" w:hanging="259"/>
      </w:pPr>
      <w:r>
        <w:rPr>
          <w:b/>
        </w:rPr>
        <w:t xml:space="preserve">8. </w:t>
      </w:r>
      <w:r>
        <w:t>Apply Constraints, Domain Framing, Adequacy, and Sigma in canonical order. No downstream stage may repair an upstream omission or fabrication.</w:t>
      </w:r>
    </w:p>
    <w:p>
      <w:pPr>
        <w:spacing w:after="20"/>
        <w:ind w:left="317" w:hanging="259"/>
      </w:pPr>
      <w:r>
        <w:rPr>
          <w:b/>
        </w:rPr>
        <w:t xml:space="preserve">9. </w:t>
      </w:r>
      <w:r>
        <w:t>Search is anytime only over already licensed candidates. If the computation ceiling is reached, return the best fully evaluated policy available under the canonical selection state; record SEARCH_BUDGET_EXHAUSTED.</w:t>
      </w:r>
    </w:p>
    <w:p>
      <w:pPr>
        <w:spacing w:after="20"/>
        <w:ind w:left="317" w:hanging="259"/>
      </w:pPr>
      <w:r>
        <w:rPr>
          <w:b/>
        </w:rPr>
        <w:t xml:space="preserve">10. </w:t>
      </w:r>
      <w:r>
        <w:t>Log common action-grammar count, Pi generated count, completeness additions/challenges, filtered counts, and final evaluated count.</w:t>
      </w:r>
    </w:p>
    <w:p>
      <w:r>
        <w:t>Projection uncertainty does not alter Layer-1 ontology. The controller uses bounded scenario projections derived from its perceived state and legitimate uncertainty metadata; realized actual state remains separate.</w:t>
      </w:r>
    </w:p>
    <w:p>
      <w:pPr>
        <w:pStyle w:val="Heading1"/>
      </w:pPr>
      <w:r>
        <w:t>5. Common Planning Horizon and Action Commitment Grammar (B10)</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Item</w:t>
            </w:r>
          </w:p>
        </w:tc>
        <w:tc>
          <w:tcPr>
            <w:tcW w:type="dxa" w:w="5040"/>
            <w:vAlign w:val="top"/>
            <w:shd w:fill="D9E2F3"/>
          </w:tcPr>
          <w:p>
            <w:r/>
            <w:r>
              <w:rPr>
                <w:rFonts w:ascii="Aptos" w:hAnsi="Aptos"/>
                <w:b/>
                <w:sz w:val="15"/>
              </w:rPr>
              <w:t>Frozen rule</w:t>
            </w:r>
          </w:p>
        </w:tc>
      </w:tr>
      <w:tr>
        <w:tc>
          <w:tcPr>
            <w:tcW w:type="dxa" w:w="5040"/>
            <w:vAlign w:val="top"/>
          </w:tcPr>
          <w:p>
            <w:r/>
            <w:r>
              <w:rPr>
                <w:rFonts w:ascii="Aptos" w:hAnsi="Aptos"/>
                <w:b w:val="0"/>
                <w:sz w:val="14"/>
              </w:rPr>
              <w:t>Decision instant</w:t>
            </w:r>
          </w:p>
        </w:tc>
        <w:tc>
          <w:tcPr>
            <w:tcW w:type="dxa" w:w="5040"/>
            <w:vAlign w:val="top"/>
          </w:tcPr>
          <w:p>
            <w:r/>
            <w:r>
              <w:rPr>
                <w:rFonts w:ascii="Aptos" w:hAnsi="Aptos"/>
                <w:b w:val="0"/>
                <w:sz w:val="14"/>
              </w:rPr>
              <w:t>At PRE(t), before current-period action realization.</w:t>
            </w:r>
          </w:p>
        </w:tc>
      </w:tr>
      <w:tr>
        <w:tc>
          <w:tcPr>
            <w:tcW w:type="dxa" w:w="5040"/>
            <w:vAlign w:val="top"/>
          </w:tcPr>
          <w:p>
            <w:r/>
            <w:r>
              <w:rPr>
                <w:rFonts w:ascii="Aptos" w:hAnsi="Aptos"/>
                <w:b w:val="0"/>
                <w:sz w:val="14"/>
              </w:rPr>
              <w:t>Four-transition horizon</w:t>
            </w:r>
          </w:p>
        </w:tc>
        <w:tc>
          <w:tcPr>
            <w:tcW w:type="dxa" w:w="5040"/>
            <w:vAlign w:val="top"/>
          </w:tcPr>
          <w:p>
            <w:r/>
            <w:r>
              <w:rPr>
                <w:rFonts w:ascii="Aptos" w:hAnsi="Aptos"/>
                <w:b w:val="0"/>
                <w:sz w:val="14"/>
              </w:rPr>
              <w:t>Project end-of-period states t, t+1, t+2, and t+3 after four successive realizations beginning with the current decision. The phrase 'four future weekly transitions' means four transition applications including the current action's realization.</w:t>
            </w:r>
          </w:p>
        </w:tc>
      </w:tr>
      <w:tr>
        <w:tc>
          <w:tcPr>
            <w:tcW w:type="dxa" w:w="5040"/>
            <w:vAlign w:val="top"/>
          </w:tcPr>
          <w:p>
            <w:r/>
            <w:r>
              <w:rPr>
                <w:rFonts w:ascii="Aptos" w:hAnsi="Aptos"/>
                <w:b w:val="0"/>
                <w:sz w:val="14"/>
              </w:rPr>
              <w:t>A/B parity</w:t>
            </w:r>
          </w:p>
        </w:tc>
        <w:tc>
          <w:tcPr>
            <w:tcW w:type="dxa" w:w="5040"/>
            <w:vAlign w:val="top"/>
          </w:tcPr>
          <w:p>
            <w:r/>
            <w:r>
              <w:rPr>
                <w:rFonts w:ascii="Aptos" w:hAnsi="Aptos"/>
                <w:b w:val="0"/>
                <w:sz w:val="14"/>
              </w:rPr>
              <w:t>PV-PP A and scalar B use the identical four-transition clock and identical public transition interface.</w:t>
            </w:r>
          </w:p>
        </w:tc>
      </w:tr>
      <w:tr>
        <w:tc>
          <w:tcPr>
            <w:tcW w:type="dxa" w:w="5040"/>
            <w:vAlign w:val="top"/>
          </w:tcPr>
          <w:p>
            <w:r/>
            <w:r>
              <w:rPr>
                <w:rFonts w:ascii="Aptos" w:hAnsi="Aptos"/>
                <w:b w:val="0"/>
                <w:sz w:val="14"/>
              </w:rPr>
              <w:t>Submitted action</w:t>
            </w:r>
          </w:p>
        </w:tc>
        <w:tc>
          <w:tcPr>
            <w:tcW w:type="dxa" w:w="5040"/>
            <w:vAlign w:val="top"/>
          </w:tcPr>
          <w:p>
            <w:r/>
            <w:r>
              <w:rPr>
                <w:rFonts w:ascii="Aptos" w:hAnsi="Aptos"/>
                <w:b w:val="0"/>
                <w:sz w:val="14"/>
              </w:rPr>
              <w:t>All controllers submit only current-period actions/proposals. Multi-period sequences are internal plans and create no future commitment unless a current action explicitly creates a world commitment/encumbrance.</w:t>
            </w:r>
          </w:p>
        </w:tc>
      </w:tr>
      <w:tr>
        <w:tc>
          <w:tcPr>
            <w:tcW w:type="dxa" w:w="5040"/>
            <w:vAlign w:val="top"/>
          </w:tcPr>
          <w:p>
            <w:r/>
            <w:r>
              <w:rPr>
                <w:rFonts w:ascii="Aptos" w:hAnsi="Aptos"/>
                <w:b w:val="0"/>
                <w:sz w:val="14"/>
              </w:rPr>
              <w:t>Conditional plans</w:t>
            </w:r>
          </w:p>
        </w:tc>
        <w:tc>
          <w:tcPr>
            <w:tcW w:type="dxa" w:w="5040"/>
            <w:vAlign w:val="top"/>
          </w:tcPr>
          <w:p>
            <w:r/>
            <w:r>
              <w:rPr>
                <w:rFonts w:ascii="Aptos" w:hAnsi="Aptos"/>
                <w:b w:val="0"/>
                <w:sz w:val="14"/>
              </w:rPr>
              <w:t>Allowed internally for A and B as scenario-contingent projections, but only the current-period root action is submitted.</w:t>
            </w:r>
          </w:p>
        </w:tc>
      </w:tr>
      <w:tr>
        <w:tc>
          <w:tcPr>
            <w:tcW w:type="dxa" w:w="5040"/>
            <w:vAlign w:val="top"/>
          </w:tcPr>
          <w:p>
            <w:r/>
            <w:r>
              <w:rPr>
                <w:rFonts w:ascii="Aptos" w:hAnsi="Aptos"/>
                <w:b w:val="0"/>
                <w:sz w:val="14"/>
              </w:rPr>
              <w:t>Replanning</w:t>
            </w:r>
          </w:p>
        </w:tc>
        <w:tc>
          <w:tcPr>
            <w:tcW w:type="dxa" w:w="5040"/>
            <w:vAlign w:val="top"/>
          </w:tcPr>
          <w:p>
            <w:r/>
            <w:r>
              <w:rPr>
                <w:rFonts w:ascii="Aptos" w:hAnsi="Aptos"/>
                <w:b w:val="0"/>
                <w:sz w:val="14"/>
              </w:rPr>
              <w:t>Every period all regimes receive the new PRE packet and decide again, subject to commitments already created.</w:t>
            </w:r>
          </w:p>
        </w:tc>
      </w:tr>
    </w:tbl>
    <w:p>
      <w:pPr>
        <w:spacing w:after="20"/>
      </w:pPr>
    </w:p>
    <w:p>
      <w:pPr>
        <w:pStyle w:val="Heading1"/>
      </w:pPr>
      <w:r>
        <w:t>6. Scalar B State Estimator (B3)</w:t>
      </w:r>
    </w:p>
    <w:p>
      <w:r>
        <w:t>Comparator B receives a competent but non-oracular persistent estimator. It is deliberately transparent and conservative rather than a learned black box.</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Component</w:t>
            </w:r>
          </w:p>
        </w:tc>
        <w:tc>
          <w:tcPr>
            <w:tcW w:type="dxa" w:w="5040"/>
            <w:vAlign w:val="top"/>
            <w:shd w:fill="D9E2F3"/>
          </w:tcPr>
          <w:p>
            <w:r/>
            <w:r>
              <w:rPr>
                <w:rFonts w:ascii="Aptos" w:hAnsi="Aptos"/>
                <w:b/>
                <w:sz w:val="15"/>
              </w:rPr>
              <w:t>Frozen estimator rule</w:t>
            </w:r>
          </w:p>
        </w:tc>
      </w:tr>
      <w:tr>
        <w:tc>
          <w:tcPr>
            <w:tcW w:type="dxa" w:w="5040"/>
            <w:vAlign w:val="top"/>
          </w:tcPr>
          <w:p>
            <w:r/>
            <w:r>
              <w:rPr>
                <w:rFonts w:ascii="Aptos" w:hAnsi="Aptos"/>
                <w:b w:val="0"/>
                <w:sz w:val="14"/>
              </w:rPr>
              <w:t>State representation</w:t>
            </w:r>
          </w:p>
        </w:tc>
        <w:tc>
          <w:tcPr>
            <w:tcW w:type="dxa" w:w="5040"/>
            <w:vAlign w:val="top"/>
          </w:tcPr>
          <w:p>
            <w:r/>
            <w:r>
              <w:rPr>
                <w:rFonts w:ascii="Aptos" w:hAnsi="Aptos"/>
                <w:b w:val="0"/>
                <w:sz w:val="14"/>
              </w:rPr>
              <w:t>Per role and counterpart/domain: point estimate plus uncertainty interval/discrete probability over the benchmark's public transition-state variables.</w:t>
            </w:r>
          </w:p>
        </w:tc>
      </w:tr>
      <w:tr>
        <w:tc>
          <w:tcPr>
            <w:tcW w:type="dxa" w:w="5040"/>
            <w:vAlign w:val="top"/>
          </w:tcPr>
          <w:p>
            <w:r/>
            <w:r>
              <w:rPr>
                <w:rFonts w:ascii="Aptos" w:hAnsi="Aptos"/>
                <w:b w:val="0"/>
                <w:sz w:val="14"/>
              </w:rPr>
              <w:t>Initialization</w:t>
            </w:r>
          </w:p>
        </w:tc>
        <w:tc>
          <w:tcPr>
            <w:tcW w:type="dxa" w:w="5040"/>
            <w:vAlign w:val="top"/>
          </w:tcPr>
          <w:p>
            <w:r/>
            <w:r>
              <w:rPr>
                <w:rFonts w:ascii="Aptos" w:hAnsi="Aptos"/>
                <w:b w:val="0"/>
                <w:sz w:val="14"/>
              </w:rPr>
              <w:t>Use only initial public/direct observations and authoritative records in the PRE packet. Hidden actual PP is never used.</w:t>
            </w:r>
          </w:p>
        </w:tc>
      </w:tr>
      <w:tr>
        <w:tc>
          <w:tcPr>
            <w:tcW w:type="dxa" w:w="5040"/>
            <w:vAlign w:val="top"/>
          </w:tcPr>
          <w:p>
            <w:r/>
            <w:r>
              <w:rPr>
                <w:rFonts w:ascii="Aptos" w:hAnsi="Aptos"/>
                <w:b w:val="0"/>
                <w:sz w:val="14"/>
              </w:rPr>
              <w:t>Direct authoritative observation</w:t>
            </w:r>
          </w:p>
        </w:tc>
        <w:tc>
          <w:tcPr>
            <w:tcW w:type="dxa" w:w="5040"/>
            <w:vAlign w:val="top"/>
          </w:tcPr>
          <w:p>
            <w:r/>
            <w:r>
              <w:rPr>
                <w:rFonts w:ascii="Aptos" w:hAnsi="Aptos"/>
                <w:b w:val="0"/>
                <w:sz w:val="14"/>
              </w:rPr>
              <w:t>Replace/update the corresponding observed component; preserve measurement error where the observation channel is noisy.</w:t>
            </w:r>
          </w:p>
        </w:tc>
      </w:tr>
      <w:tr>
        <w:tc>
          <w:tcPr>
            <w:tcW w:type="dxa" w:w="5040"/>
            <w:vAlign w:val="top"/>
          </w:tcPr>
          <w:p>
            <w:r/>
            <w:r>
              <w:rPr>
                <w:rFonts w:ascii="Aptos" w:hAnsi="Aptos"/>
                <w:b w:val="0"/>
                <w:sz w:val="14"/>
              </w:rPr>
              <w:t>Noisy direct measurement</w:t>
            </w:r>
          </w:p>
        </w:tc>
        <w:tc>
          <w:tcPr>
            <w:tcW w:type="dxa" w:w="5040"/>
            <w:vAlign w:val="top"/>
          </w:tcPr>
          <w:p>
            <w:r/>
            <w:r>
              <w:rPr>
                <w:rFonts w:ascii="Aptos" w:hAnsi="Aptos"/>
                <w:b w:val="0"/>
                <w:sz w:val="14"/>
              </w:rPr>
              <w:t>Bayesian/discrete likelihood update using the frozen observation-channel error model.</w:t>
            </w:r>
          </w:p>
        </w:tc>
      </w:tr>
      <w:tr>
        <w:tc>
          <w:tcPr>
            <w:tcW w:type="dxa" w:w="5040"/>
            <w:vAlign w:val="top"/>
          </w:tcPr>
          <w:p>
            <w:r/>
            <w:r>
              <w:rPr>
                <w:rFonts w:ascii="Aptos" w:hAnsi="Aptos"/>
                <w:b w:val="0"/>
                <w:sz w:val="14"/>
              </w:rPr>
              <w:t>Strategic report</w:t>
            </w:r>
          </w:p>
        </w:tc>
        <w:tc>
          <w:tcPr>
            <w:tcW w:type="dxa" w:w="5040"/>
            <w:vAlign w:val="top"/>
          </w:tcPr>
          <w:p>
            <w:r/>
            <w:r>
              <w:rPr>
                <w:rFonts w:ascii="Aptos" w:hAnsi="Aptos"/>
                <w:b w:val="0"/>
                <w:sz w:val="14"/>
              </w:rPr>
              <w:t>Treat as a report from that source, not as truth. Update source-specific reliability and the reported state jointly.</w:t>
            </w:r>
          </w:p>
        </w:tc>
      </w:tr>
      <w:tr>
        <w:tc>
          <w:tcPr>
            <w:tcW w:type="dxa" w:w="5040"/>
            <w:vAlign w:val="top"/>
          </w:tcPr>
          <w:p>
            <w:r/>
            <w:r>
              <w:rPr>
                <w:rFonts w:ascii="Aptos" w:hAnsi="Aptos"/>
                <w:b w:val="0"/>
                <w:sz w:val="14"/>
              </w:rPr>
              <w:t>Source reliability</w:t>
            </w:r>
          </w:p>
        </w:tc>
        <w:tc>
          <w:tcPr>
            <w:tcW w:type="dxa" w:w="5040"/>
            <w:vAlign w:val="top"/>
          </w:tcPr>
          <w:p>
            <w:r/>
            <w:r>
              <w:rPr>
                <w:rFonts w:ascii="Aptos" w:hAnsi="Aptos"/>
                <w:b w:val="0"/>
                <w:sz w:val="14"/>
              </w:rPr>
              <w:t>Beta-Bernoulli style reliability count for checkable binary/interval claims, initialized Beta(2,2); only later independently checkable outcomes update it.</w:t>
            </w:r>
          </w:p>
        </w:tc>
      </w:tr>
      <w:tr>
        <w:tc>
          <w:tcPr>
            <w:tcW w:type="dxa" w:w="5040"/>
            <w:vAlign w:val="top"/>
          </w:tcPr>
          <w:p>
            <w:r/>
            <w:r>
              <w:rPr>
                <w:rFonts w:ascii="Aptos" w:hAnsi="Aptos"/>
                <w:b w:val="0"/>
                <w:sz w:val="14"/>
              </w:rPr>
              <w:t>Correlated repetition</w:t>
            </w:r>
          </w:p>
        </w:tc>
        <w:tc>
          <w:tcPr>
            <w:tcW w:type="dxa" w:w="5040"/>
            <w:vAlign w:val="top"/>
          </w:tcPr>
          <w:p>
            <w:r/>
            <w:r>
              <w:rPr>
                <w:rFonts w:ascii="Aptos" w:hAnsi="Aptos"/>
                <w:b w:val="0"/>
                <w:sz w:val="14"/>
              </w:rPr>
              <w:t>Repeated same-source statements about the same unresolved event are one evidential family; they do not multiply independent likelihood.</w:t>
            </w:r>
          </w:p>
        </w:tc>
      </w:tr>
      <w:tr>
        <w:tc>
          <w:tcPr>
            <w:tcW w:type="dxa" w:w="5040"/>
            <w:vAlign w:val="top"/>
          </w:tcPr>
          <w:p>
            <w:r/>
            <w:r>
              <w:rPr>
                <w:rFonts w:ascii="Aptos" w:hAnsi="Aptos"/>
                <w:b w:val="0"/>
                <w:sz w:val="14"/>
              </w:rPr>
              <w:t>Freshness</w:t>
            </w:r>
          </w:p>
        </w:tc>
        <w:tc>
          <w:tcPr>
            <w:tcW w:type="dxa" w:w="5040"/>
            <w:vAlign w:val="top"/>
          </w:tcPr>
          <w:p>
            <w:r/>
            <w:r>
              <w:rPr>
                <w:rFonts w:ascii="Aptos" w:hAnsi="Aptos"/>
                <w:b w:val="0"/>
                <w:sz w:val="14"/>
              </w:rPr>
              <w:t>Unobserved operational state propagates through the public transition model and widens uncertainty with elapsed periods.</w:t>
            </w:r>
          </w:p>
        </w:tc>
      </w:tr>
      <w:tr>
        <w:tc>
          <w:tcPr>
            <w:tcW w:type="dxa" w:w="5040"/>
            <w:vAlign w:val="top"/>
          </w:tcPr>
          <w:p>
            <w:r/>
            <w:r>
              <w:rPr>
                <w:rFonts w:ascii="Aptos" w:hAnsi="Aptos"/>
                <w:b w:val="0"/>
                <w:sz w:val="14"/>
              </w:rPr>
              <w:t>Contradiction</w:t>
            </w:r>
          </w:p>
        </w:tc>
        <w:tc>
          <w:tcPr>
            <w:tcW w:type="dxa" w:w="5040"/>
            <w:vAlign w:val="top"/>
          </w:tcPr>
          <w:p>
            <w:r/>
            <w:r>
              <w:rPr>
                <w:rFonts w:ascii="Aptos" w:hAnsi="Aptos"/>
                <w:b w:val="0"/>
                <w:sz w:val="14"/>
              </w:rPr>
              <w:t>Fresh higher-authority/direct evidence updates current belief; prior report remains in history and affects source reliability.</w:t>
            </w:r>
          </w:p>
        </w:tc>
      </w:tr>
      <w:tr>
        <w:tc>
          <w:tcPr>
            <w:tcW w:type="dxa" w:w="5040"/>
            <w:vAlign w:val="top"/>
          </w:tcPr>
          <w:p>
            <w:r/>
            <w:r>
              <w:rPr>
                <w:rFonts w:ascii="Aptos" w:hAnsi="Aptos"/>
                <w:b w:val="0"/>
                <w:sz w:val="14"/>
              </w:rPr>
              <w:t>Transition model</w:t>
            </w:r>
          </w:p>
        </w:tc>
        <w:tc>
          <w:tcPr>
            <w:tcW w:type="dxa" w:w="5040"/>
            <w:vAlign w:val="top"/>
          </w:tcPr>
          <w:p>
            <w:r/>
            <w:r>
              <w:rPr>
                <w:rFonts w:ascii="Aptos" w:hAnsi="Aptos"/>
                <w:b w:val="0"/>
                <w:sz w:val="14"/>
              </w:rPr>
              <w:t>Exactly the same benchmark transition equations, action effects, and uncertainty families available to A; no oracle parameters conditioned on hidden realized state.</w:t>
            </w:r>
          </w:p>
        </w:tc>
      </w:tr>
      <w:tr>
        <w:tc>
          <w:tcPr>
            <w:tcW w:type="dxa" w:w="5040"/>
            <w:vAlign w:val="top"/>
          </w:tcPr>
          <w:p>
            <w:r/>
            <w:r>
              <w:rPr>
                <w:rFonts w:ascii="Aptos" w:hAnsi="Aptos"/>
                <w:b w:val="0"/>
                <w:sz w:val="14"/>
              </w:rPr>
              <w:t>Estimator persistence</w:t>
            </w:r>
          </w:p>
        </w:tc>
        <w:tc>
          <w:tcPr>
            <w:tcW w:type="dxa" w:w="5040"/>
            <w:vAlign w:val="top"/>
          </w:tcPr>
          <w:p>
            <w:r/>
            <w:r>
              <w:rPr>
                <w:rFonts w:ascii="Aptos" w:hAnsi="Aptos"/>
                <w:b w:val="0"/>
                <w:sz w:val="14"/>
              </w:rPr>
              <w:t>Full legitimate history may be compressed into estimator state. Raw evidence remains auditable.</w:t>
            </w:r>
          </w:p>
        </w:tc>
      </w:tr>
    </w:tbl>
    <w:p>
      <w:pPr>
        <w:spacing w:after="20"/>
      </w:pPr>
    </w:p>
    <w:p>
      <w:pPr>
        <w:pStyle w:val="Heading1"/>
      </w:pPr>
      <w:r>
        <w:t>7. Scalar B Objective Family (B4)</w:t>
      </w:r>
    </w:p>
    <w:p>
      <w:r>
        <w:t>All B controllers use the same constrained expected-loss plus risk architecture, but role-specific native dimensions. Hard physical, legal, certification, cash-without-financing, and double-allocation constraints remain outside the soft loss.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Role</w:t>
            </w:r>
          </w:p>
        </w:tc>
        <w:tc>
          <w:tcPr>
            <w:tcW w:type="dxa" w:w="5040"/>
            <w:vAlign w:val="top"/>
            <w:shd w:fill="D9E2F3"/>
          </w:tcPr>
          <w:p>
            <w:r/>
            <w:r>
              <w:rPr>
                <w:rFonts w:ascii="Aptos" w:hAnsi="Aptos"/>
                <w:b/>
                <w:sz w:val="15"/>
              </w:rPr>
              <w:t>B0 balanced soft dimensions and base weights</w:t>
            </w:r>
          </w:p>
        </w:tc>
      </w:tr>
      <w:tr>
        <w:tc>
          <w:tcPr>
            <w:tcW w:type="dxa" w:w="5040"/>
            <w:vAlign w:val="top"/>
          </w:tcPr>
          <w:p>
            <w:r/>
            <w:r>
              <w:rPr>
                <w:rFonts w:ascii="Aptos" w:hAnsi="Aptos"/>
                <w:b w:val="0"/>
                <w:sz w:val="14"/>
              </w:rPr>
              <w:t>M</w:t>
            </w:r>
          </w:p>
        </w:tc>
        <w:tc>
          <w:tcPr>
            <w:tcW w:type="dxa" w:w="5040"/>
            <w:vAlign w:val="top"/>
          </w:tcPr>
          <w:p>
            <w:r/>
            <w:r>
              <w:rPr>
                <w:rFonts w:ascii="Aptos" w:hAnsi="Aptos"/>
                <w:b w:val="0"/>
                <w:sz w:val="14"/>
              </w:rPr>
              <w:t>Commitment 1.0; physical shortage exposure 1.0; cash/covenant 1.0; capability degradation 1.0; quality 1.0; adaptation cost 0.75; recovery/irreversibility 1.25.</w:t>
            </w:r>
          </w:p>
        </w:tc>
      </w:tr>
      <w:tr>
        <w:tc>
          <w:tcPr>
            <w:tcW w:type="dxa" w:w="5040"/>
            <w:vAlign w:val="top"/>
          </w:tcPr>
          <w:p>
            <w:r/>
            <w:r>
              <w:rPr>
                <w:rFonts w:ascii="Aptos" w:hAnsi="Aptos"/>
                <w:b w:val="0"/>
                <w:sz w:val="14"/>
              </w:rPr>
              <w:t>S1</w:t>
            </w:r>
          </w:p>
        </w:tc>
        <w:tc>
          <w:tcPr>
            <w:tcW w:type="dxa" w:w="5040"/>
            <w:vAlign w:val="top"/>
          </w:tcPr>
          <w:p>
            <w:r/>
            <w:r>
              <w:rPr>
                <w:rFonts w:ascii="Aptos" w:hAnsi="Aptos"/>
                <w:b w:val="0"/>
                <w:sz w:val="14"/>
              </w:rPr>
              <w:t>Contract fulfillment 1.0; cash viability 1.0; line capability 1.0; quality capability 1.1; recovery expenditure 0.75; irreversible exit 1.35.</w:t>
            </w:r>
          </w:p>
        </w:tc>
      </w:tr>
      <w:tr>
        <w:tc>
          <w:tcPr>
            <w:tcW w:type="dxa" w:w="5040"/>
            <w:vAlign w:val="top"/>
          </w:tcPr>
          <w:p>
            <w:r/>
            <w:r>
              <w:rPr>
                <w:rFonts w:ascii="Aptos" w:hAnsi="Aptos"/>
                <w:b w:val="0"/>
                <w:sz w:val="14"/>
              </w:rPr>
              <w:t>S2</w:t>
            </w:r>
          </w:p>
        </w:tc>
        <w:tc>
          <w:tcPr>
            <w:tcW w:type="dxa" w:w="5040"/>
            <w:vAlign w:val="top"/>
          </w:tcPr>
          <w:p>
            <w:r/>
            <w:r>
              <w:rPr>
                <w:rFonts w:ascii="Aptos" w:hAnsi="Aptos"/>
                <w:b w:val="0"/>
                <w:sz w:val="14"/>
              </w:rPr>
              <w:t>Qualification/contract attainment 1.0; cash viability 1.0; capacity opportunity cost 1.0; quality/capability 1.1; tooling/adaptation cost 0.75; irreversible market/contract loss 1.15.</w:t>
            </w:r>
          </w:p>
        </w:tc>
      </w:tr>
      <w:tr>
        <w:tc>
          <w:tcPr>
            <w:tcW w:type="dxa" w:w="5040"/>
            <w:vAlign w:val="top"/>
          </w:tcPr>
          <w:p>
            <w:r/>
            <w:r>
              <w:rPr>
                <w:rFonts w:ascii="Aptos" w:hAnsi="Aptos"/>
                <w:b w:val="0"/>
                <w:sz w:val="14"/>
              </w:rPr>
              <w:t>C</w:t>
            </w:r>
          </w:p>
        </w:tc>
        <w:tc>
          <w:tcPr>
            <w:tcW w:type="dxa" w:w="5040"/>
            <w:vAlign w:val="top"/>
          </w:tcPr>
          <w:p>
            <w:r/>
            <w:r>
              <w:rPr>
                <w:rFonts w:ascii="Aptos" w:hAnsi="Aptos"/>
                <w:b w:val="0"/>
                <w:sz w:val="14"/>
              </w:rPr>
              <w:t>Physical shortage 1.25; reserve depletion 1.15; operational PP loss 1.25; quality harm 1.25; contract disruption 0.8; renegotiation/switching cost 0.6.</w:t>
            </w:r>
          </w:p>
        </w:tc>
      </w:tr>
      <w:tr>
        <w:tc>
          <w:tcPr>
            <w:tcW w:type="dxa" w:w="5040"/>
            <w:vAlign w:val="top"/>
          </w:tcPr>
          <w:p>
            <w:r/>
            <w:r>
              <w:rPr>
                <w:rFonts w:ascii="Aptos" w:hAnsi="Aptos"/>
                <w:b w:val="0"/>
                <w:sz w:val="14"/>
              </w:rPr>
              <w:t>L</w:t>
            </w:r>
          </w:p>
        </w:tc>
        <w:tc>
          <w:tcPr>
            <w:tcW w:type="dxa" w:w="5040"/>
            <w:vAlign w:val="top"/>
          </w:tcPr>
          <w:p>
            <w:r/>
            <w:r>
              <w:rPr>
                <w:rFonts w:ascii="Aptos" w:hAnsi="Aptos"/>
                <w:b w:val="0"/>
                <w:sz w:val="14"/>
              </w:rPr>
              <w:t>Expected credit loss 1.4; covenant deterioration 1.2; liquidity exposure 1.0; workout/amendment cost 0.6; fee/return foregone 0.5; borrower continuity 0.7.</w:t>
            </w:r>
          </w:p>
        </w:tc>
      </w:tr>
      <w:tr>
        <w:tc>
          <w:tcPr>
            <w:tcW w:type="dxa" w:w="5040"/>
            <w:vAlign w:val="top"/>
          </w:tcPr>
          <w:p>
            <w:r/>
            <w:r>
              <w:rPr>
                <w:rFonts w:ascii="Aptos" w:hAnsi="Aptos"/>
                <w:b w:val="0"/>
                <w:sz w:val="14"/>
              </w:rPr>
              <w:t>T</w:t>
            </w:r>
          </w:p>
        </w:tc>
        <w:tc>
          <w:tcPr>
            <w:tcW w:type="dxa" w:w="5040"/>
            <w:vAlign w:val="top"/>
          </w:tcPr>
          <w:p>
            <w:r/>
            <w:r>
              <w:rPr>
                <w:rFonts w:ascii="Aptos" w:hAnsi="Aptos"/>
                <w:b w:val="0"/>
                <w:sz w:val="14"/>
              </w:rPr>
              <w:t>Reservation failure 1.2; capacity overload 1.0; service failure 1.2; expedite burden 0.7; operating cost 0.7; reliability deterioration 1.0.</w:t>
            </w:r>
          </w:p>
        </w:tc>
      </w:tr>
    </w:tbl>
    <w:p>
      <w:pPr>
        <w:spacing w:after="20"/>
      </w:pPr>
    </w:p>
    <w:p>
      <w:r>
        <w:t>Each role normalizes a dimension against the corresponding frozen world baseline/threshold in its own units before weighting. Normalization is comparator-internal only. It does not imply cross-domain commensurability in PV-PP.</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Sensitivity</w:t>
            </w:r>
          </w:p>
        </w:tc>
        <w:tc>
          <w:tcPr>
            <w:tcW w:type="dxa" w:w="5040"/>
            <w:vAlign w:val="top"/>
            <w:shd w:fill="D9E2F3"/>
          </w:tcPr>
          <w:p>
            <w:r/>
            <w:r>
              <w:rPr>
                <w:rFonts w:ascii="Aptos" w:hAnsi="Aptos"/>
                <w:b/>
                <w:sz w:val="15"/>
              </w:rPr>
              <w:t>Transformation from B0</w:t>
            </w:r>
          </w:p>
        </w:tc>
      </w:tr>
      <w:tr>
        <w:tc>
          <w:tcPr>
            <w:tcW w:type="dxa" w:w="5040"/>
            <w:vAlign w:val="top"/>
          </w:tcPr>
          <w:p>
            <w:r/>
            <w:r>
              <w:rPr>
                <w:rFonts w:ascii="Aptos" w:hAnsi="Aptos"/>
                <w:b w:val="0"/>
                <w:sz w:val="14"/>
              </w:rPr>
              <w:t>B1 Continuity-heavy</w:t>
            </w:r>
          </w:p>
        </w:tc>
        <w:tc>
          <w:tcPr>
            <w:tcW w:type="dxa" w:w="5040"/>
            <w:vAlign w:val="top"/>
          </w:tcPr>
          <w:p>
            <w:r/>
            <w:r>
              <w:rPr>
                <w:rFonts w:ascii="Aptos" w:hAnsi="Aptos"/>
                <w:b w:val="0"/>
                <w:sz w:val="14"/>
              </w:rPr>
              <w:t>Multiply fulfillment/shortage/operational-continuity dimensions by 1.25; adaptation cost by 0.8; financial dimensions by 0.9.</w:t>
            </w:r>
          </w:p>
        </w:tc>
      </w:tr>
      <w:tr>
        <w:tc>
          <w:tcPr>
            <w:tcW w:type="dxa" w:w="5040"/>
            <w:vAlign w:val="top"/>
          </w:tcPr>
          <w:p>
            <w:r/>
            <w:r>
              <w:rPr>
                <w:rFonts w:ascii="Aptos" w:hAnsi="Aptos"/>
                <w:b w:val="0"/>
                <w:sz w:val="14"/>
              </w:rPr>
              <w:t>B2 Resilience-heavy</w:t>
            </w:r>
          </w:p>
        </w:tc>
        <w:tc>
          <w:tcPr>
            <w:tcW w:type="dxa" w:w="5040"/>
            <w:vAlign w:val="top"/>
          </w:tcPr>
          <w:p>
            <w:r/>
            <w:r>
              <w:rPr>
                <w:rFonts w:ascii="Aptos" w:hAnsi="Aptos"/>
                <w:b w:val="0"/>
                <w:sz w:val="14"/>
              </w:rPr>
              <w:t>Multiply capability, quality, recovery, and irreversible-loss dimensions by 1.25; adaptation cost by 0.8; immediate fulfillment by 0.9.</w:t>
            </w:r>
          </w:p>
        </w:tc>
      </w:tr>
      <w:tr>
        <w:tc>
          <w:tcPr>
            <w:tcW w:type="dxa" w:w="5040"/>
            <w:vAlign w:val="top"/>
          </w:tcPr>
          <w:p>
            <w:r/>
            <w:r>
              <w:rPr>
                <w:rFonts w:ascii="Aptos" w:hAnsi="Aptos"/>
                <w:b w:val="0"/>
                <w:sz w:val="14"/>
              </w:rPr>
              <w:t>B3 Financially conservative</w:t>
            </w:r>
          </w:p>
        </w:tc>
        <w:tc>
          <w:tcPr>
            <w:tcW w:type="dxa" w:w="5040"/>
            <w:vAlign w:val="top"/>
          </w:tcPr>
          <w:p>
            <w:r/>
            <w:r>
              <w:rPr>
                <w:rFonts w:ascii="Aptos" w:hAnsi="Aptos"/>
                <w:b w:val="0"/>
                <w:sz w:val="14"/>
              </w:rPr>
              <w:t>Multiply cash, covenant, credit-loss, liquidity, and operating-cost dimensions by 1.35; adaptation/borrowing burden by 1.15; continuity dimensions by 0.9.</w:t>
            </w:r>
          </w:p>
        </w:tc>
      </w:tr>
      <w:tr>
        <w:tc>
          <w:tcPr>
            <w:tcW w:type="dxa" w:w="5040"/>
            <w:vAlign w:val="top"/>
          </w:tcPr>
          <w:p>
            <w:r/>
            <w:r>
              <w:rPr>
                <w:rFonts w:ascii="Aptos" w:hAnsi="Aptos"/>
                <w:b w:val="0"/>
                <w:sz w:val="14"/>
              </w:rPr>
              <w:t>B4 Quality/safety-heavy</w:t>
            </w:r>
          </w:p>
        </w:tc>
        <w:tc>
          <w:tcPr>
            <w:tcW w:type="dxa" w:w="5040"/>
            <w:vAlign w:val="top"/>
          </w:tcPr>
          <w:p>
            <w:r/>
            <w:r>
              <w:rPr>
                <w:rFonts w:ascii="Aptos" w:hAnsi="Aptos"/>
                <w:b w:val="0"/>
                <w:sz w:val="14"/>
              </w:rPr>
              <w:t>Multiply quality, field-failure, safety/containment, and quality-capability dimensions by 1.5; immediate fulfillment by 0.85; ordinary cost by 0.9.</w:t>
            </w:r>
          </w:p>
        </w:tc>
      </w:tr>
    </w:tbl>
    <w:p>
      <w:pPr>
        <w:spacing w:after="20"/>
      </w:pPr>
    </w:p>
    <w:p>
      <w:r>
        <w:t>After transformation, weights are normalized within each role only for numerical convenience. B uses 75% expected normalized horizon loss plus 25% CVaR(90%). Terminal irreversible events use the corresponding role dimension plus a frozen terminal increment of 2.0 normalized-loss units; they are not infinite unless the action is prohibited.</w:t>
      </w:r>
    </w:p>
    <w:p>
      <w:pPr>
        <w:pStyle w:val="Heading1"/>
      </w:pPr>
      <w:r>
        <w:t>8. Local Comparator C Role Rules (B5)</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Role</w:t>
            </w:r>
          </w:p>
        </w:tc>
        <w:tc>
          <w:tcPr>
            <w:tcW w:type="dxa" w:w="5040"/>
            <w:vAlign w:val="top"/>
            <w:shd w:fill="D9E2F3"/>
          </w:tcPr>
          <w:p>
            <w:r/>
            <w:r>
              <w:rPr>
                <w:rFonts w:ascii="Aptos" w:hAnsi="Aptos"/>
                <w:b/>
                <w:sz w:val="15"/>
              </w:rPr>
              <w:t>Ordered current-period priorities</w:t>
            </w:r>
          </w:p>
        </w:tc>
      </w:tr>
      <w:tr>
        <w:tc>
          <w:tcPr>
            <w:tcW w:type="dxa" w:w="5040"/>
            <w:vAlign w:val="top"/>
          </w:tcPr>
          <w:p>
            <w:r/>
            <w:r>
              <w:rPr>
                <w:rFonts w:ascii="Aptos" w:hAnsi="Aptos"/>
                <w:b w:val="0"/>
                <w:sz w:val="14"/>
              </w:rPr>
              <w:t>M</w:t>
            </w:r>
          </w:p>
        </w:tc>
        <w:tc>
          <w:tcPr>
            <w:tcW w:type="dxa" w:w="5040"/>
            <w:vAlign w:val="top"/>
          </w:tcPr>
          <w:p>
            <w:r/>
            <w:r>
              <w:rPr>
                <w:rFonts w:ascii="Aptos" w:hAnsi="Aptos"/>
                <w:b w:val="0"/>
                <w:sz w:val="14"/>
              </w:rPr>
              <w:t>1 safety/certification; 2 current accepted delivery; 3 current cash/default avoidance; 4 fresh quality containment; 5 lower immediate operating/adaptation burden; 6 recent counterpart/logistics reliability; 7 reversibility; 8 lower encumbrance; 9 stable action ID.</w:t>
            </w:r>
          </w:p>
        </w:tc>
      </w:tr>
      <w:tr>
        <w:tc>
          <w:tcPr>
            <w:tcW w:type="dxa" w:w="5040"/>
            <w:vAlign w:val="top"/>
          </w:tcPr>
          <w:p>
            <w:r/>
            <w:r>
              <w:rPr>
                <w:rFonts w:ascii="Aptos" w:hAnsi="Aptos"/>
                <w:b w:val="0"/>
                <w:sz w:val="14"/>
              </w:rPr>
              <w:t>S1</w:t>
            </w:r>
          </w:p>
        </w:tc>
        <w:tc>
          <w:tcPr>
            <w:tcW w:type="dxa" w:w="5040"/>
            <w:vAlign w:val="top"/>
          </w:tcPr>
          <w:p>
            <w:r/>
            <w:r>
              <w:rPr>
                <w:rFonts w:ascii="Aptos" w:hAnsi="Aptos"/>
                <w:b w:val="0"/>
                <w:sz w:val="14"/>
              </w:rPr>
              <w:t>1 safety/known quality block; 2 current M shipment commitment; 3 avoid current cash insolvency; 4 preserve current line/quality capability; 5 lower recovery/operating cash burden; 6 recent M/payment/logistics reliability; 7 reversibility; 8 stable action ID.</w:t>
            </w:r>
          </w:p>
        </w:tc>
      </w:tr>
      <w:tr>
        <w:tc>
          <w:tcPr>
            <w:tcW w:type="dxa" w:w="5040"/>
            <w:vAlign w:val="top"/>
          </w:tcPr>
          <w:p>
            <w:r/>
            <w:r>
              <w:rPr>
                <w:rFonts w:ascii="Aptos" w:hAnsi="Aptos"/>
                <w:b w:val="0"/>
                <w:sz w:val="14"/>
              </w:rPr>
              <w:t>S2</w:t>
            </w:r>
          </w:p>
        </w:tc>
        <w:tc>
          <w:tcPr>
            <w:tcW w:type="dxa" w:w="5040"/>
            <w:vAlign w:val="top"/>
          </w:tcPr>
          <w:p>
            <w:r/>
            <w:r>
              <w:rPr>
                <w:rFonts w:ascii="Aptos" w:hAnsi="Aptos"/>
                <w:b w:val="0"/>
                <w:sz w:val="14"/>
              </w:rPr>
              <w:t>1 qualification/safety compliance; 2 accepted current reservation/contract; 3 current cash viability; 4 preserve quality/engineering capability; 5 protect already-known external capacity opportunity; 6 lower immediate cost/encumbrance; 7 reversibility; 8 stable action ID.</w:t>
            </w:r>
          </w:p>
        </w:tc>
      </w:tr>
      <w:tr>
        <w:tc>
          <w:tcPr>
            <w:tcW w:type="dxa" w:w="5040"/>
            <w:vAlign w:val="top"/>
          </w:tcPr>
          <w:p>
            <w:r/>
            <w:r>
              <w:rPr>
                <w:rFonts w:ascii="Aptos" w:hAnsi="Aptos"/>
                <w:b w:val="0"/>
                <w:sz w:val="14"/>
              </w:rPr>
              <w:t>C</w:t>
            </w:r>
          </w:p>
        </w:tc>
        <w:tc>
          <w:tcPr>
            <w:tcW w:type="dxa" w:w="5040"/>
            <w:vAlign w:val="top"/>
          </w:tcPr>
          <w:p>
            <w:r/>
            <w:r>
              <w:rPr>
                <w:rFonts w:ascii="Aptos" w:hAnsi="Aptos"/>
                <w:b w:val="0"/>
                <w:sz w:val="14"/>
              </w:rPr>
              <w:t>1 current productive continuity/physical shortage; 2 quality/safety; 3 preserve reserve above emergency boundary; 4 current accepted contract performance; 5 lower switching/renegotiation burden; 6 recent M reliability; 7 reversibility; 8 stable action ID.</w:t>
            </w:r>
          </w:p>
        </w:tc>
      </w:tr>
      <w:tr>
        <w:tc>
          <w:tcPr>
            <w:tcW w:type="dxa" w:w="5040"/>
            <w:vAlign w:val="top"/>
          </w:tcPr>
          <w:p>
            <w:r/>
            <w:r>
              <w:rPr>
                <w:rFonts w:ascii="Aptos" w:hAnsi="Aptos"/>
                <w:b w:val="0"/>
                <w:sz w:val="14"/>
              </w:rPr>
              <w:t>L</w:t>
            </w:r>
          </w:p>
        </w:tc>
        <w:tc>
          <w:tcPr>
            <w:tcW w:type="dxa" w:w="5040"/>
            <w:vAlign w:val="top"/>
          </w:tcPr>
          <w:p>
            <w:r/>
            <w:r>
              <w:rPr>
                <w:rFonts w:ascii="Aptos" w:hAnsi="Aptos"/>
                <w:b w:val="0"/>
                <w:sz w:val="14"/>
              </w:rPr>
              <w:t>1 contractual/legal credit prohibition; 2 avoid known immediate default/credit loss; 3 covenant protection; 4 preserve viable workout where current evidence supports it; 5 fee/return; 6 lower amendment burden; 7 stable action ID.</w:t>
            </w:r>
          </w:p>
        </w:tc>
      </w:tr>
      <w:tr>
        <w:tc>
          <w:tcPr>
            <w:tcW w:type="dxa" w:w="5040"/>
            <w:vAlign w:val="top"/>
          </w:tcPr>
          <w:p>
            <w:r/>
            <w:r>
              <w:rPr>
                <w:rFonts w:ascii="Aptos" w:hAnsi="Aptos"/>
                <w:b w:val="0"/>
                <w:sz w:val="14"/>
              </w:rPr>
              <w:t>T</w:t>
            </w:r>
          </w:p>
        </w:tc>
        <w:tc>
          <w:tcPr>
            <w:tcW w:type="dxa" w:w="5040"/>
            <w:vAlign w:val="top"/>
          </w:tcPr>
          <w:p>
            <w:r/>
            <w:r>
              <w:rPr>
                <w:rFonts w:ascii="Aptos" w:hAnsi="Aptos"/>
                <w:b w:val="0"/>
                <w:sz w:val="14"/>
              </w:rPr>
              <w:t>1 physical/safety feasibility; 2 previously reserved capacity; 3 current accepted service commitments; 4 avoid overload/failure; 5 lower operating/expedite burden; 6 recent route/customer reliability; 7 stable action ID.</w:t>
            </w:r>
          </w:p>
        </w:tc>
      </w:tr>
    </w:tbl>
    <w:p>
      <w:pPr>
        <w:spacing w:after="20"/>
      </w:pPr>
    </w:p>
    <w:p>
      <w:r>
        <w:t>C uses the current PRE packet plus a frozen four-period recent-history summary. It does not explicitly optimize the multi-period recovery corridor. Known delayed risk can affect current safety/quality priority, but C does not solve the full future cascade.</w:t>
      </w:r>
    </w:p>
    <w:p>
      <w:pPr>
        <w:pStyle w:val="Heading1"/>
      </w:pPr>
      <w:r>
        <w:t>9. Computation Budget Resolution (B6)</w:t>
      </w:r>
    </w:p>
    <w:p>
      <w:r>
        <w:t>The budget values in v0.5 remain calibration targets rather than scientifically frozen constants until controller-blind dry runs confirm that all three regimes can execute ordinary cases. The calibration procedure itself is frozen now.</w:t>
      </w:r>
    </w:p>
    <w:p>
      <w:pPr>
        <w:spacing w:after="20"/>
        <w:ind w:left="317" w:hanging="259"/>
      </w:pPr>
      <w:r>
        <w:rPr>
          <w:b/>
        </w:rPr>
        <w:t xml:space="preserve">1. </w:t>
      </w:r>
      <w:r>
        <w:t>Use one reference machine/runtime image and one worker thread per controller instance.</w:t>
      </w:r>
    </w:p>
    <w:p>
      <w:pPr>
        <w:spacing w:after="20"/>
        <w:ind w:left="317" w:hanging="259"/>
      </w:pPr>
      <w:r>
        <w:rPr>
          <w:b/>
        </w:rPr>
        <w:t xml:space="preserve">2. </w:t>
      </w:r>
      <w:r>
        <w:t>Start with 10,000 public world-transition evaluations and 2.0 seconds wall-clock per agent decision for A and B; C receives the same wall-clock ceiling but normally uses far fewer evaluations.</w:t>
      </w:r>
    </w:p>
    <w:p>
      <w:pPr>
        <w:spacing w:after="20"/>
        <w:ind w:left="317" w:hanging="259"/>
      </w:pPr>
      <w:r>
        <w:rPr>
          <w:b/>
        </w:rPr>
        <w:t xml:space="preserve">3. </w:t>
      </w:r>
      <w:r>
        <w:t>Maximum stochastic projection sample paths: 256 per A/B decision.</w:t>
      </w:r>
    </w:p>
    <w:p>
      <w:pPr>
        <w:spacing w:after="20"/>
        <w:ind w:left="317" w:hanging="259"/>
      </w:pPr>
      <w:r>
        <w:rPr>
          <w:b/>
        </w:rPr>
        <w:t xml:space="preserve">4. </w:t>
      </w:r>
      <w:r>
        <w:t>Count every call that advances the public transition model by one candidate/scenario/step as one transition evaluation.</w:t>
      </w:r>
    </w:p>
    <w:p>
      <w:pPr>
        <w:spacing w:after="20"/>
        <w:ind w:left="317" w:hanging="259"/>
      </w:pPr>
      <w:r>
        <w:rPr>
          <w:b/>
        </w:rPr>
        <w:t xml:space="preserve">5. </w:t>
      </w:r>
      <w:r>
        <w:t>Do not count logging, packet deserialization, or immutable-ledger writes against the evaluation count; wall-clock still records end-to-end controller decision time.</w:t>
      </w:r>
    </w:p>
    <w:p>
      <w:pPr>
        <w:spacing w:after="20"/>
        <w:ind w:left="317" w:hanging="259"/>
      </w:pPr>
      <w:r>
        <w:rPr>
          <w:b/>
        </w:rPr>
        <w:t xml:space="preserve">6. </w:t>
      </w:r>
      <w:r>
        <w:t>Run only calm-world, hand-solvable, and synthetic controller-neutral calibration states. Do not run the primary challenge trace or compare winner metrics.</w:t>
      </w:r>
    </w:p>
    <w:p>
      <w:pPr>
        <w:spacing w:after="20"/>
        <w:ind w:left="317" w:hanging="259"/>
      </w:pPr>
      <w:r>
        <w:rPr>
          <w:b/>
        </w:rPr>
        <w:t xml:space="preserve">7. </w:t>
      </w:r>
      <w:r>
        <w:t>If either A or B cannot complete at least 95% of ordinary calibration decisions within both ceilings, increase both A and B ceilings by the same multiplicative factor from {2,4}; document the first passing common ceiling.</w:t>
      </w:r>
    </w:p>
    <w:p>
      <w:pPr>
        <w:spacing w:after="20"/>
        <w:ind w:left="317" w:hanging="259"/>
      </w:pPr>
      <w:r>
        <w:rPr>
          <w:b/>
        </w:rPr>
        <w:t xml:space="preserve">8. </w:t>
      </w:r>
      <w:r>
        <w:t>Do not reduce a ceiling because one controller is faster. Do not use regime-specific ceiling increases.</w:t>
      </w:r>
    </w:p>
    <w:p>
      <w:pPr>
        <w:spacing w:after="20"/>
        <w:ind w:left="317" w:hanging="259"/>
      </w:pPr>
      <w:r>
        <w:rPr>
          <w:b/>
        </w:rPr>
        <w:t xml:space="preserve">9. </w:t>
      </w:r>
      <w:r>
        <w:t>Freeze the resulting ceilings and reference-hardware description in the manifest before any primary run.</w:t>
      </w:r>
    </w:p>
    <w:p>
      <w:pPr>
        <w:pStyle w:val="Heading1"/>
      </w:pPr>
      <w:r>
        <w:t>10. Strategic Signaling Policy (B7)</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Sender/state</w:t>
            </w:r>
          </w:p>
        </w:tc>
        <w:tc>
          <w:tcPr>
            <w:tcW w:type="dxa" w:w="5040"/>
            <w:vAlign w:val="top"/>
            <w:shd w:fill="D9E2F3"/>
          </w:tcPr>
          <w:p>
            <w:r/>
            <w:r>
              <w:rPr>
                <w:rFonts w:ascii="Aptos" w:hAnsi="Aptos"/>
                <w:b/>
                <w:sz w:val="15"/>
              </w:rPr>
              <w:t>Frozen message policy</w:t>
            </w:r>
          </w:p>
        </w:tc>
      </w:tr>
      <w:tr>
        <w:tc>
          <w:tcPr>
            <w:tcW w:type="dxa" w:w="5040"/>
            <w:vAlign w:val="top"/>
          </w:tcPr>
          <w:p>
            <w:r/>
            <w:r>
              <w:rPr>
                <w:rFonts w:ascii="Aptos" w:hAnsi="Aptos"/>
                <w:b w:val="0"/>
                <w:sz w:val="14"/>
              </w:rPr>
              <w:t>S1 line &gt;=70 and quality &gt;=70</w:t>
            </w:r>
          </w:p>
        </w:tc>
        <w:tc>
          <w:tcPr>
            <w:tcW w:type="dxa" w:w="5040"/>
            <w:vAlign w:val="top"/>
          </w:tcPr>
          <w:p>
            <w:r/>
            <w:r>
              <w:rPr>
                <w:rFonts w:ascii="Aptos" w:hAnsi="Aptos"/>
                <w:b w:val="0"/>
                <w:sz w:val="14"/>
              </w:rPr>
              <w:t>Report exact current operational band and truthful ETA.</w:t>
            </w:r>
          </w:p>
        </w:tc>
      </w:tr>
      <w:tr>
        <w:tc>
          <w:tcPr>
            <w:tcW w:type="dxa" w:w="5040"/>
            <w:vAlign w:val="top"/>
          </w:tcPr>
          <w:p>
            <w:r/>
            <w:r>
              <w:rPr>
                <w:rFonts w:ascii="Aptos" w:hAnsi="Aptos"/>
                <w:b w:val="0"/>
                <w:sz w:val="14"/>
              </w:rPr>
              <w:t>S1 line &lt;70 or quality &lt;70, no independently verified severe block</w:t>
            </w:r>
          </w:p>
        </w:tc>
        <w:tc>
          <w:tcPr>
            <w:tcW w:type="dxa" w:w="5040"/>
            <w:vAlign w:val="top"/>
          </w:tcPr>
          <w:p>
            <w:r/>
            <w:r>
              <w:rPr>
                <w:rFonts w:ascii="Aptos" w:hAnsi="Aptos"/>
                <w:b w:val="0"/>
                <w:sz w:val="14"/>
              </w:rPr>
              <w:t>Draw one state-conditioned message mode using the common random key: 0.40 exact disclosure; 0.35 'temporary issue' with no false numeric claim; 0.25 optimistic ETA one week earlier than internal expectation.</w:t>
            </w:r>
          </w:p>
        </w:tc>
      </w:tr>
      <w:tr>
        <w:tc>
          <w:tcPr>
            <w:tcW w:type="dxa" w:w="5040"/>
            <w:vAlign w:val="top"/>
          </w:tcPr>
          <w:p>
            <w:r/>
            <w:r>
              <w:rPr>
                <w:rFonts w:ascii="Aptos" w:hAnsi="Aptos"/>
                <w:b w:val="0"/>
                <w:sz w:val="14"/>
              </w:rPr>
              <w:t>S1 observed/authoritative quality &lt;35 or shipment physically impossible</w:t>
            </w:r>
          </w:p>
        </w:tc>
        <w:tc>
          <w:tcPr>
            <w:tcW w:type="dxa" w:w="5040"/>
            <w:vAlign w:val="top"/>
          </w:tcPr>
          <w:p>
            <w:r/>
            <w:r>
              <w:rPr>
                <w:rFonts w:ascii="Aptos" w:hAnsi="Aptos"/>
                <w:b w:val="0"/>
                <w:sz w:val="14"/>
              </w:rPr>
              <w:t>Cannot claim a nonexistent shipment or certified-good status. May use 'temporary issue' wording, but authoritative execution/inspection evidence controls.</w:t>
            </w:r>
          </w:p>
        </w:tc>
      </w:tr>
      <w:tr>
        <w:tc>
          <w:tcPr>
            <w:tcW w:type="dxa" w:w="5040"/>
            <w:vAlign w:val="top"/>
          </w:tcPr>
          <w:p>
            <w:r/>
            <w:r>
              <w:rPr>
                <w:rFonts w:ascii="Aptos" w:hAnsi="Aptos"/>
                <w:b w:val="0"/>
                <w:sz w:val="14"/>
              </w:rPr>
              <w:t>S2 before external opportunity exists</w:t>
            </w:r>
          </w:p>
        </w:tc>
        <w:tc>
          <w:tcPr>
            <w:tcW w:type="dxa" w:w="5040"/>
            <w:vAlign w:val="top"/>
          </w:tcPr>
          <w:p>
            <w:r/>
            <w:r>
              <w:rPr>
                <w:rFonts w:ascii="Aptos" w:hAnsi="Aptos"/>
                <w:b w:val="0"/>
                <w:sz w:val="14"/>
              </w:rPr>
              <w:t>Truthfully state current available capacity/qualification status.</w:t>
            </w:r>
          </w:p>
        </w:tc>
      </w:tr>
      <w:tr>
        <w:tc>
          <w:tcPr>
            <w:tcW w:type="dxa" w:w="5040"/>
            <w:vAlign w:val="top"/>
          </w:tcPr>
          <w:p>
            <w:r/>
            <w:r>
              <w:rPr>
                <w:rFonts w:ascii="Aptos" w:hAnsi="Aptos"/>
                <w:b w:val="0"/>
                <w:sz w:val="14"/>
              </w:rPr>
              <w:t>S2 after external opportunity exists but before external reservation is executed</w:t>
            </w:r>
          </w:p>
        </w:tc>
        <w:tc>
          <w:tcPr>
            <w:tcW w:type="dxa" w:w="5040"/>
            <w:vAlign w:val="top"/>
          </w:tcPr>
          <w:p>
            <w:r/>
            <w:r>
              <w:rPr>
                <w:rFonts w:ascii="Aptos" w:hAnsi="Aptos"/>
                <w:b w:val="0"/>
                <w:sz w:val="14"/>
              </w:rPr>
              <w:t>0.50 disclose opportunity risk; 0.50 state current available capacity without volunteering future risk. Cannot promise capacity already encumbered.</w:t>
            </w:r>
          </w:p>
        </w:tc>
      </w:tr>
      <w:tr>
        <w:tc>
          <w:tcPr>
            <w:tcW w:type="dxa" w:w="5040"/>
            <w:vAlign w:val="top"/>
          </w:tcPr>
          <w:p>
            <w:r/>
            <w:r>
              <w:rPr>
                <w:rFonts w:ascii="Aptos" w:hAnsi="Aptos"/>
                <w:b w:val="0"/>
                <w:sz w:val="14"/>
              </w:rPr>
              <w:t>C</w:t>
            </w:r>
          </w:p>
        </w:tc>
        <w:tc>
          <w:tcPr>
            <w:tcW w:type="dxa" w:w="5040"/>
            <w:vAlign w:val="top"/>
          </w:tcPr>
          <w:p>
            <w:r/>
            <w:r>
              <w:rPr>
                <w:rFonts w:ascii="Aptos" w:hAnsi="Aptos"/>
                <w:b w:val="0"/>
                <w:sz w:val="14"/>
              </w:rPr>
              <w:t>Threat language may precede formal termination eligibility; actual termination remains governed by C's frozen controller/rule state.</w:t>
            </w:r>
          </w:p>
        </w:tc>
      </w:tr>
      <w:tr>
        <w:tc>
          <w:tcPr>
            <w:tcW w:type="dxa" w:w="5040"/>
            <w:vAlign w:val="top"/>
          </w:tcPr>
          <w:p>
            <w:r/>
            <w:r>
              <w:rPr>
                <w:rFonts w:ascii="Aptos" w:hAnsi="Aptos"/>
                <w:b w:val="0"/>
                <w:sz w:val="14"/>
              </w:rPr>
              <w:t>L/R</w:t>
            </w:r>
          </w:p>
        </w:tc>
        <w:tc>
          <w:tcPr>
            <w:tcW w:type="dxa" w:w="5040"/>
            <w:vAlign w:val="top"/>
          </w:tcPr>
          <w:p>
            <w:r/>
            <w:r>
              <w:rPr>
                <w:rFonts w:ascii="Aptos" w:hAnsi="Aptos"/>
                <w:b w:val="0"/>
                <w:sz w:val="14"/>
              </w:rPr>
              <w:t>No strategic deception; authoritative notices.</w:t>
            </w:r>
          </w:p>
        </w:tc>
      </w:tr>
      <w:tr>
        <w:tc>
          <w:tcPr>
            <w:tcW w:type="dxa" w:w="5040"/>
            <w:vAlign w:val="top"/>
          </w:tcPr>
          <w:p>
            <w:r/>
            <w:r>
              <w:rPr>
                <w:rFonts w:ascii="Aptos" w:hAnsi="Aptos"/>
                <w:b w:val="0"/>
                <w:sz w:val="14"/>
              </w:rPr>
              <w:t>M</w:t>
            </w:r>
          </w:p>
        </w:tc>
        <w:tc>
          <w:tcPr>
            <w:tcW w:type="dxa" w:w="5040"/>
            <w:vAlign w:val="top"/>
          </w:tcPr>
          <w:p>
            <w:r/>
            <w:r>
              <w:rPr>
                <w:rFonts w:ascii="Aptos" w:hAnsi="Aptos"/>
                <w:b w:val="0"/>
                <w:sz w:val="14"/>
              </w:rPr>
              <w:t>No fraudulent reporting in v0.8; nondisclosure permitted only where world rules do not require disclosure.</w:t>
            </w:r>
          </w:p>
        </w:tc>
      </w:tr>
    </w:tbl>
    <w:p>
      <w:pPr>
        <w:spacing w:after="20"/>
      </w:pPr>
    </w:p>
    <w:p>
      <w:r>
        <w:t>Strategic-message draws are keyed to sender, period, claim family, and master seed so matched regimes receive the same exogenous message tendency when the sender's underlying matched state is the same.</w:t>
      </w:r>
    </w:p>
    <w:p>
      <w:pPr>
        <w:pStyle w:val="Heading1"/>
      </w:pPr>
      <w:r>
        <w:t>11. Stochastic Fixture Families and Seed Discipline (B8)</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Family</w:t>
            </w:r>
          </w:p>
        </w:tc>
        <w:tc>
          <w:tcPr>
            <w:tcW w:type="dxa" w:w="5040"/>
            <w:vAlign w:val="top"/>
            <w:shd w:fill="D9E2F3"/>
          </w:tcPr>
          <w:p>
            <w:r/>
            <w:r>
              <w:rPr>
                <w:rFonts w:ascii="Aptos" w:hAnsi="Aptos"/>
                <w:b/>
                <w:sz w:val="15"/>
              </w:rPr>
              <w:t>Frozen pre-implementation distribution</w:t>
            </w:r>
          </w:p>
        </w:tc>
      </w:tr>
      <w:tr>
        <w:tc>
          <w:tcPr>
            <w:tcW w:type="dxa" w:w="5040"/>
            <w:vAlign w:val="top"/>
          </w:tcPr>
          <w:p>
            <w:r/>
            <w:r>
              <w:rPr>
                <w:rFonts w:ascii="Aptos" w:hAnsi="Aptos"/>
                <w:b w:val="0"/>
                <w:sz w:val="14"/>
              </w:rPr>
              <w:t>S1 deterioration onset</w:t>
            </w:r>
          </w:p>
        </w:tc>
        <w:tc>
          <w:tcPr>
            <w:tcW w:type="dxa" w:w="5040"/>
            <w:vAlign w:val="top"/>
          </w:tcPr>
          <w:p>
            <w:r/>
            <w:r>
              <w:rPr>
                <w:rFonts w:ascii="Aptos" w:hAnsi="Aptos"/>
                <w:b w:val="0"/>
                <w:sz w:val="14"/>
              </w:rPr>
              <w:t>Primary stochastic onset uniformly among periods 3, 4, 5.</w:t>
            </w:r>
          </w:p>
        </w:tc>
      </w:tr>
      <w:tr>
        <w:tc>
          <w:tcPr>
            <w:tcW w:type="dxa" w:w="5040"/>
            <w:vAlign w:val="top"/>
          </w:tcPr>
          <w:p>
            <w:r/>
            <w:r>
              <w:rPr>
                <w:rFonts w:ascii="Aptos" w:hAnsi="Aptos"/>
                <w:b w:val="0"/>
                <w:sz w:val="14"/>
              </w:rPr>
              <w:t>Initial S1 deterioration</w:t>
            </w:r>
          </w:p>
        </w:tc>
        <w:tc>
          <w:tcPr>
            <w:tcW w:type="dxa" w:w="5040"/>
            <w:vAlign w:val="top"/>
          </w:tcPr>
          <w:p>
            <w:r/>
            <w:r>
              <w:rPr>
                <w:rFonts w:ascii="Aptos" w:hAnsi="Aptos"/>
                <w:b w:val="0"/>
                <w:sz w:val="14"/>
              </w:rPr>
              <w:t>Line decrement drawn from {10,15,20} with probabilities {0.25,0.50,0.25}; quality decrement from {15,20,25} with same probabilities, independently keyed.</w:t>
            </w:r>
          </w:p>
        </w:tc>
      </w:tr>
      <w:tr>
        <w:tc>
          <w:tcPr>
            <w:tcW w:type="dxa" w:w="5040"/>
            <w:vAlign w:val="top"/>
          </w:tcPr>
          <w:p>
            <w:r/>
            <w:r>
              <w:rPr>
                <w:rFonts w:ascii="Aptos" w:hAnsi="Aptos"/>
                <w:b w:val="0"/>
                <w:sz w:val="14"/>
              </w:rPr>
              <w:t>Untreated weekly deterioration</w:t>
            </w:r>
          </w:p>
        </w:tc>
        <w:tc>
          <w:tcPr>
            <w:tcW w:type="dxa" w:w="5040"/>
            <w:vAlign w:val="top"/>
          </w:tcPr>
          <w:p>
            <w:r/>
            <w:r>
              <w:rPr>
                <w:rFonts w:ascii="Aptos" w:hAnsi="Aptos"/>
                <w:b w:val="0"/>
                <w:sz w:val="14"/>
              </w:rPr>
              <w:t>Line decrement {5,8,11} with probabilities {0.25,0.50,0.25}; quality decrement {7,10,13} same probabilities; floors remain v0.2.</w:t>
            </w:r>
          </w:p>
        </w:tc>
      </w:tr>
      <w:tr>
        <w:tc>
          <w:tcPr>
            <w:tcW w:type="dxa" w:w="5040"/>
            <w:vAlign w:val="top"/>
          </w:tcPr>
          <w:p>
            <w:r/>
            <w:r>
              <w:rPr>
                <w:rFonts w:ascii="Aptos" w:hAnsi="Aptos"/>
                <w:b w:val="0"/>
                <w:sz w:val="14"/>
              </w:rPr>
              <w:t>S1 recovery realization</w:t>
            </w:r>
          </w:p>
        </w:tc>
        <w:tc>
          <w:tcPr>
            <w:tcW w:type="dxa" w:w="5040"/>
            <w:vAlign w:val="top"/>
          </w:tcPr>
          <w:p>
            <w:r/>
            <w:r>
              <w:rPr>
                <w:rFonts w:ascii="Aptos" w:hAnsi="Aptos"/>
                <w:b w:val="0"/>
                <w:sz w:val="14"/>
              </w:rPr>
              <w:t>When a valid recovery action is realized, nominal restoration remains +15 line/+20 quality; no extra random efficacy in the primary ensemble.</w:t>
            </w:r>
          </w:p>
        </w:tc>
      </w:tr>
      <w:tr>
        <w:tc>
          <w:tcPr>
            <w:tcW w:type="dxa" w:w="5040"/>
            <w:vAlign w:val="top"/>
          </w:tcPr>
          <w:p>
            <w:r/>
            <w:r>
              <w:rPr>
                <w:rFonts w:ascii="Aptos" w:hAnsi="Aptos"/>
                <w:b w:val="0"/>
                <w:sz w:val="14"/>
              </w:rPr>
              <w:t>T reliability</w:t>
            </w:r>
          </w:p>
        </w:tc>
        <w:tc>
          <w:tcPr>
            <w:tcW w:type="dxa" w:w="5040"/>
            <w:vAlign w:val="top"/>
          </w:tcPr>
          <w:p>
            <w:r/>
            <w:r>
              <w:rPr>
                <w:rFonts w:ascii="Aptos" w:hAnsi="Aptos"/>
                <w:b w:val="0"/>
                <w:sz w:val="14"/>
              </w:rPr>
              <w:t>Use v0.2 state-specific reliability probabilities LOW .96, MEDIUM .90, HIGH .82 with stable shipment/slot keys.</w:t>
            </w:r>
          </w:p>
        </w:tc>
      </w:tr>
      <w:tr>
        <w:tc>
          <w:tcPr>
            <w:tcW w:type="dxa" w:w="5040"/>
            <w:vAlign w:val="top"/>
          </w:tcPr>
          <w:p>
            <w:r/>
            <w:r>
              <w:rPr>
                <w:rFonts w:ascii="Aptos" w:hAnsi="Aptos"/>
                <w:b w:val="0"/>
                <w:sz w:val="14"/>
              </w:rPr>
              <w:t>Board latent defect</w:t>
            </w:r>
          </w:p>
        </w:tc>
        <w:tc>
          <w:tcPr>
            <w:tcW w:type="dxa" w:w="5040"/>
            <w:vAlign w:val="top"/>
          </w:tcPr>
          <w:p>
            <w:r/>
            <w:r>
              <w:rPr>
                <w:rFonts w:ascii="Aptos" w:hAnsi="Aptos"/>
                <w:b w:val="0"/>
                <w:sz w:val="14"/>
              </w:rPr>
              <w:t>Use v0.2 quality-band probabilities with stable board/cohort keys.</w:t>
            </w:r>
          </w:p>
        </w:tc>
      </w:tr>
      <w:tr>
        <w:tc>
          <w:tcPr>
            <w:tcW w:type="dxa" w:w="5040"/>
            <w:vAlign w:val="top"/>
          </w:tcPr>
          <w:p>
            <w:r/>
            <w:r>
              <w:rPr>
                <w:rFonts w:ascii="Aptos" w:hAnsi="Aptos"/>
                <w:b w:val="0"/>
                <w:sz w:val="14"/>
              </w:rPr>
              <w:t>Shortcut field failure</w:t>
            </w:r>
          </w:p>
        </w:tc>
        <w:tc>
          <w:tcPr>
            <w:tcW w:type="dxa" w:w="5040"/>
            <w:vAlign w:val="top"/>
          </w:tcPr>
          <w:p>
            <w:r/>
            <w:r>
              <w:rPr>
                <w:rFonts w:ascii="Aptos" w:hAnsi="Aptos"/>
                <w:b w:val="0"/>
                <w:sz w:val="14"/>
              </w:rPr>
              <w:t>8% per shortcut-reworked board, delay uniformly 2-4 periods.</w:t>
            </w:r>
          </w:p>
        </w:tc>
      </w:tr>
      <w:tr>
        <w:tc>
          <w:tcPr>
            <w:tcW w:type="dxa" w:w="5040"/>
            <w:vAlign w:val="top"/>
          </w:tcPr>
          <w:p>
            <w:r/>
            <w:r>
              <w:rPr>
                <w:rFonts w:ascii="Aptos" w:hAnsi="Aptos"/>
                <w:b w:val="0"/>
                <w:sz w:val="14"/>
              </w:rPr>
              <w:t>Full rework field failure</w:t>
            </w:r>
          </w:p>
        </w:tc>
        <w:tc>
          <w:tcPr>
            <w:tcW w:type="dxa" w:w="5040"/>
            <w:vAlign w:val="top"/>
          </w:tcPr>
          <w:p>
            <w:r/>
            <w:r>
              <w:rPr>
                <w:rFonts w:ascii="Aptos" w:hAnsi="Aptos"/>
                <w:b w:val="0"/>
                <w:sz w:val="14"/>
              </w:rPr>
              <w:t>1.5% per full-reworked board, delay uniformly 2-4 periods.</w:t>
            </w:r>
          </w:p>
        </w:tc>
      </w:tr>
      <w:tr>
        <w:tc>
          <w:tcPr>
            <w:tcW w:type="dxa" w:w="5040"/>
            <w:vAlign w:val="top"/>
          </w:tcPr>
          <w:p>
            <w:r/>
            <w:r>
              <w:rPr>
                <w:rFonts w:ascii="Aptos" w:hAnsi="Aptos"/>
                <w:b w:val="0"/>
                <w:sz w:val="14"/>
              </w:rPr>
              <w:t>Observation/test error</w:t>
            </w:r>
          </w:p>
        </w:tc>
        <w:tc>
          <w:tcPr>
            <w:tcW w:type="dxa" w:w="5040"/>
            <w:vAlign w:val="top"/>
          </w:tcPr>
          <w:p>
            <w:r/>
            <w:r>
              <w:rPr>
                <w:rFonts w:ascii="Aptos" w:hAnsi="Aptos"/>
                <w:b w:val="0"/>
                <w:sz w:val="14"/>
              </w:rPr>
              <w:t>Resolved in Section 12.</w:t>
            </w:r>
          </w:p>
        </w:tc>
      </w:tr>
      <w:tr>
        <w:tc>
          <w:tcPr>
            <w:tcW w:type="dxa" w:w="5040"/>
            <w:vAlign w:val="top"/>
          </w:tcPr>
          <w:p>
            <w:r/>
            <w:r>
              <w:rPr>
                <w:rFonts w:ascii="Aptos" w:hAnsi="Aptos"/>
                <w:b w:val="0"/>
                <w:sz w:val="14"/>
              </w:rPr>
              <w:t>Strategic messages</w:t>
            </w:r>
          </w:p>
        </w:tc>
        <w:tc>
          <w:tcPr>
            <w:tcW w:type="dxa" w:w="5040"/>
            <w:vAlign w:val="top"/>
          </w:tcPr>
          <w:p>
            <w:r/>
            <w:r>
              <w:rPr>
                <w:rFonts w:ascii="Aptos" w:hAnsi="Aptos"/>
                <w:b w:val="0"/>
                <w:sz w:val="14"/>
              </w:rPr>
              <w:t>Resolved in Section 10.</w:t>
            </w:r>
          </w:p>
        </w:tc>
      </w:tr>
    </w:tbl>
    <w:p>
      <w:pPr>
        <w:spacing w:after="20"/>
      </w:pPr>
    </w:p>
    <w:p>
      <w:r>
        <w:t>Master seed list and final ensemble size are not chosen by looking at controller outcomes. Generate a fixed master list of 1,000 integer seeds from a documented seed-generation key. A controller-blind variance study on world-only/calibration outputs selects N from {100, 250, 500, 1000}, choosing the smallest N for which key exogenous stress frequencies and world-only summary intervals are stable under the predeclared rule in Section 22. The first N seeds in the master list become the primary ensemble.</w:t>
      </w:r>
    </w:p>
    <w:p>
      <w:pPr>
        <w:pStyle w:val="Heading1"/>
      </w:pPr>
      <w:r>
        <w:t>12. Inspection and Qualification Evidence (B9)</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Item</w:t>
            </w:r>
          </w:p>
        </w:tc>
        <w:tc>
          <w:tcPr>
            <w:tcW w:type="dxa" w:w="5040"/>
            <w:vAlign w:val="top"/>
            <w:shd w:fill="D9E2F3"/>
          </w:tcPr>
          <w:p>
            <w:r/>
            <w:r>
              <w:rPr>
                <w:rFonts w:ascii="Aptos" w:hAnsi="Aptos"/>
                <w:b/>
                <w:sz w:val="15"/>
              </w:rPr>
              <w:t>Frozen rule</w:t>
            </w:r>
          </w:p>
        </w:tc>
      </w:tr>
      <w:tr>
        <w:tc>
          <w:tcPr>
            <w:tcW w:type="dxa" w:w="5040"/>
            <w:vAlign w:val="top"/>
          </w:tcPr>
          <w:p>
            <w:r/>
            <w:r>
              <w:rPr>
                <w:rFonts w:ascii="Aptos" w:hAnsi="Aptos"/>
                <w:b w:val="0"/>
                <w:sz w:val="14"/>
              </w:rPr>
              <w:t>M default incoming inspection</w:t>
            </w:r>
          </w:p>
        </w:tc>
        <w:tc>
          <w:tcPr>
            <w:tcW w:type="dxa" w:w="5040"/>
            <w:vAlign w:val="top"/>
          </w:tcPr>
          <w:p>
            <w:r/>
            <w:r>
              <w:rPr>
                <w:rFonts w:ascii="Aptos" w:hAnsi="Aptos"/>
                <w:b w:val="0"/>
                <w:sz w:val="14"/>
              </w:rPr>
              <w:t>Randomly sample 20% of arriving board units, minimum 5 when shipment &gt;=5.</w:t>
            </w:r>
          </w:p>
        </w:tc>
      </w:tr>
      <w:tr>
        <w:tc>
          <w:tcPr>
            <w:tcW w:type="dxa" w:w="5040"/>
            <w:vAlign w:val="top"/>
          </w:tcPr>
          <w:p>
            <w:r/>
            <w:r>
              <w:rPr>
                <w:rFonts w:ascii="Aptos" w:hAnsi="Aptos"/>
                <w:b w:val="0"/>
                <w:sz w:val="14"/>
              </w:rPr>
              <w:t>Defect test sensitivity</w:t>
            </w:r>
          </w:p>
        </w:tc>
        <w:tc>
          <w:tcPr>
            <w:tcW w:type="dxa" w:w="5040"/>
            <w:vAlign w:val="top"/>
          </w:tcPr>
          <w:p>
            <w:r/>
            <w:r>
              <w:rPr>
                <w:rFonts w:ascii="Aptos" w:hAnsi="Aptos"/>
                <w:b w:val="0"/>
                <w:sz w:val="14"/>
              </w:rPr>
              <w:t>0.90 probability a sampled truly defective board is detected.</w:t>
            </w:r>
          </w:p>
        </w:tc>
      </w:tr>
      <w:tr>
        <w:tc>
          <w:tcPr>
            <w:tcW w:type="dxa" w:w="5040"/>
            <w:vAlign w:val="top"/>
          </w:tcPr>
          <w:p>
            <w:r/>
            <w:r>
              <w:rPr>
                <w:rFonts w:ascii="Aptos" w:hAnsi="Aptos"/>
                <w:b w:val="0"/>
                <w:sz w:val="14"/>
              </w:rPr>
              <w:t>Defect test specificity</w:t>
            </w:r>
          </w:p>
        </w:tc>
        <w:tc>
          <w:tcPr>
            <w:tcW w:type="dxa" w:w="5040"/>
            <w:vAlign w:val="top"/>
          </w:tcPr>
          <w:p>
            <w:r/>
            <w:r>
              <w:rPr>
                <w:rFonts w:ascii="Aptos" w:hAnsi="Aptos"/>
                <w:b w:val="0"/>
                <w:sz w:val="14"/>
              </w:rPr>
              <w:t>0.99 probability a sampled nondefective board passes.</w:t>
            </w:r>
          </w:p>
        </w:tc>
      </w:tr>
      <w:tr>
        <w:tc>
          <w:tcPr>
            <w:tcW w:type="dxa" w:w="5040"/>
            <w:vAlign w:val="top"/>
          </w:tcPr>
          <w:p>
            <w:r/>
            <w:r>
              <w:rPr>
                <w:rFonts w:ascii="Aptos" w:hAnsi="Aptos"/>
                <w:b w:val="0"/>
                <w:sz w:val="14"/>
              </w:rPr>
              <w:t>Enhanced inspection action</w:t>
            </w:r>
          </w:p>
        </w:tc>
        <w:tc>
          <w:tcPr>
            <w:tcW w:type="dxa" w:w="5040"/>
            <w:vAlign w:val="top"/>
          </w:tcPr>
          <w:p>
            <w:r/>
            <w:r>
              <w:rPr>
                <w:rFonts w:ascii="Aptos" w:hAnsi="Aptos"/>
                <w:b w:val="0"/>
                <w:sz w:val="14"/>
              </w:rPr>
              <w:t>Sample 50%, minimum 10; same sensitivity/specificity; consumes the v0.4/v0.2 test-capacity cost specified for enhanced inspection.</w:t>
            </w:r>
          </w:p>
        </w:tc>
      </w:tr>
      <w:tr>
        <w:tc>
          <w:tcPr>
            <w:tcW w:type="dxa" w:w="5040"/>
            <w:vAlign w:val="top"/>
          </w:tcPr>
          <w:p>
            <w:r/>
            <w:r>
              <w:rPr>
                <w:rFonts w:ascii="Aptos" w:hAnsi="Aptos"/>
                <w:b w:val="0"/>
                <w:sz w:val="14"/>
              </w:rPr>
              <w:t>Full containment inspection</w:t>
            </w:r>
          </w:p>
        </w:tc>
        <w:tc>
          <w:tcPr>
            <w:tcW w:type="dxa" w:w="5040"/>
            <w:vAlign w:val="top"/>
          </w:tcPr>
          <w:p>
            <w:r/>
            <w:r>
              <w:rPr>
                <w:rFonts w:ascii="Aptos" w:hAnsi="Aptos"/>
                <w:b w:val="0"/>
                <w:sz w:val="14"/>
              </w:rPr>
              <w:t>100% sample where action/authority permits; same unit-test sensitivity/specificity unless a destructive/confirmatory test is explicitly invoked.</w:t>
            </w:r>
          </w:p>
        </w:tc>
      </w:tr>
      <w:tr>
        <w:tc>
          <w:tcPr>
            <w:tcW w:type="dxa" w:w="5040"/>
            <w:vAlign w:val="top"/>
          </w:tcPr>
          <w:p>
            <w:r/>
            <w:r>
              <w:rPr>
                <w:rFonts w:ascii="Aptos" w:hAnsi="Aptos"/>
                <w:b w:val="0"/>
                <w:sz w:val="14"/>
              </w:rPr>
              <w:t>S2 qualification sample</w:t>
            </w:r>
          </w:p>
        </w:tc>
        <w:tc>
          <w:tcPr>
            <w:tcW w:type="dxa" w:w="5040"/>
            <w:vAlign w:val="top"/>
          </w:tcPr>
          <w:p>
            <w:r/>
            <w:r>
              <w:rPr>
                <w:rFonts w:ascii="Aptos" w:hAnsi="Aptos"/>
                <w:b w:val="0"/>
                <w:sz w:val="14"/>
              </w:rPr>
              <w:t>20 boards per completed qualification stage.</w:t>
            </w:r>
          </w:p>
        </w:tc>
      </w:tr>
      <w:tr>
        <w:tc>
          <w:tcPr>
            <w:tcW w:type="dxa" w:w="5040"/>
            <w:vAlign w:val="top"/>
          </w:tcPr>
          <w:p>
            <w:r/>
            <w:r>
              <w:rPr>
                <w:rFonts w:ascii="Aptos" w:hAnsi="Aptos"/>
                <w:b w:val="0"/>
                <w:sz w:val="14"/>
              </w:rPr>
              <w:t>Critical sample failure</w:t>
            </w:r>
          </w:p>
        </w:tc>
        <w:tc>
          <w:tcPr>
            <w:tcW w:type="dxa" w:w="5040"/>
            <w:vAlign w:val="top"/>
          </w:tcPr>
          <w:p>
            <w:r/>
            <w:r>
              <w:rPr>
                <w:rFonts w:ascii="Aptos" w:hAnsi="Aptos"/>
                <w:b w:val="0"/>
                <w:sz w:val="14"/>
              </w:rPr>
              <w:t>Any safety-critical failure in the stage sample fails that stage; noncritical defects fail the stage if &gt;=2 are detected.</w:t>
            </w:r>
          </w:p>
        </w:tc>
      </w:tr>
      <w:tr>
        <w:tc>
          <w:tcPr>
            <w:tcW w:type="dxa" w:w="5040"/>
            <w:vAlign w:val="top"/>
          </w:tcPr>
          <w:p>
            <w:r/>
            <w:r>
              <w:rPr>
                <w:rFonts w:ascii="Aptos" w:hAnsi="Aptos"/>
                <w:b w:val="0"/>
                <w:sz w:val="14"/>
              </w:rPr>
              <w:t>Normal qualification</w:t>
            </w:r>
          </w:p>
        </w:tc>
        <w:tc>
          <w:tcPr>
            <w:tcW w:type="dxa" w:w="5040"/>
            <w:vAlign w:val="top"/>
          </w:tcPr>
          <w:p>
            <w:r/>
            <w:r>
              <w:rPr>
                <w:rFonts w:ascii="Aptos" w:hAnsi="Aptos"/>
                <w:b w:val="0"/>
                <w:sz w:val="14"/>
              </w:rPr>
              <w:t>Four completed stages plus S2 quality PP &gt;=70 and no unresolved critical failure.</w:t>
            </w:r>
          </w:p>
        </w:tc>
      </w:tr>
      <w:tr>
        <w:tc>
          <w:tcPr>
            <w:tcW w:type="dxa" w:w="5040"/>
            <w:vAlign w:val="top"/>
          </w:tcPr>
          <w:p>
            <w:r/>
            <w:r>
              <w:rPr>
                <w:rFonts w:ascii="Aptos" w:hAnsi="Aptos"/>
                <w:b w:val="0"/>
                <w:sz w:val="14"/>
              </w:rPr>
              <w:t>Emergency qualification</w:t>
            </w:r>
          </w:p>
        </w:tc>
        <w:tc>
          <w:tcPr>
            <w:tcW w:type="dxa" w:w="5040"/>
            <w:vAlign w:val="top"/>
          </w:tcPr>
          <w:p>
            <w:r/>
            <w:r>
              <w:rPr>
                <w:rFonts w:ascii="Aptos" w:hAnsi="Aptos"/>
                <w:b w:val="0"/>
                <w:sz w:val="14"/>
              </w:rPr>
              <w:t>Two completed stages, same sample/failure rule, plus the additional M test encumbrance; conditional approval initially capped at 40/week.</w:t>
            </w:r>
          </w:p>
        </w:tc>
      </w:tr>
      <w:tr>
        <w:tc>
          <w:tcPr>
            <w:tcW w:type="dxa" w:w="5040"/>
            <w:vAlign w:val="top"/>
          </w:tcPr>
          <w:p>
            <w:r/>
            <w:r>
              <w:rPr>
                <w:rFonts w:ascii="Aptos" w:hAnsi="Aptos"/>
                <w:b w:val="0"/>
                <w:sz w:val="14"/>
              </w:rPr>
              <w:t>Clean period for cap release</w:t>
            </w:r>
          </w:p>
        </w:tc>
        <w:tc>
          <w:tcPr>
            <w:tcW w:type="dxa" w:w="5040"/>
            <w:vAlign w:val="top"/>
          </w:tcPr>
          <w:p>
            <w:r/>
            <w:r>
              <w:rPr>
                <w:rFonts w:ascii="Aptos" w:hAnsi="Aptos"/>
                <w:b w:val="0"/>
                <w:sz w:val="14"/>
              </w:rPr>
              <w:t>One full delivered period with at least 20 S2 boards inspected/used and no confirmed critical failure; R may then lift the conditional cap subject to current evidence.</w:t>
            </w:r>
          </w:p>
        </w:tc>
      </w:tr>
      <w:tr>
        <w:tc>
          <w:tcPr>
            <w:tcW w:type="dxa" w:w="5040"/>
            <w:vAlign w:val="top"/>
          </w:tcPr>
          <w:p>
            <w:r/>
            <w:r>
              <w:rPr>
                <w:rFonts w:ascii="Aptos" w:hAnsi="Aptos"/>
                <w:b w:val="0"/>
                <w:sz w:val="14"/>
              </w:rPr>
              <w:t>Evidence timing</w:t>
            </w:r>
          </w:p>
        </w:tc>
        <w:tc>
          <w:tcPr>
            <w:tcW w:type="dxa" w:w="5040"/>
            <w:vAlign w:val="top"/>
          </w:tcPr>
          <w:p>
            <w:r/>
            <w:r>
              <w:rPr>
                <w:rFonts w:ascii="Aptos" w:hAnsi="Aptos"/>
                <w:b w:val="0"/>
                <w:sz w:val="14"/>
              </w:rPr>
              <w:t>Inspection result becomes PRE-visible only after the prior/current execution phase that produced the test result; no same-instant retroactive decision correction.</w:t>
            </w:r>
          </w:p>
        </w:tc>
      </w:tr>
    </w:tbl>
    <w:p>
      <w:pPr>
        <w:spacing w:after="20"/>
      </w:pPr>
    </w:p>
    <w:p>
      <w:pPr>
        <w:pStyle w:val="Heading1"/>
      </w:pPr>
      <w:r>
        <w:t>13. Emergency R Rule (H1-H2)</w:t>
      </w:r>
    </w:p>
    <w:p>
      <w:r>
        <w:t>The previously proposed trigger is adopted with an evidence-only clarification.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Item</w:t>
            </w:r>
          </w:p>
        </w:tc>
        <w:tc>
          <w:tcPr>
            <w:tcW w:type="dxa" w:w="5040"/>
            <w:vAlign w:val="top"/>
            <w:shd w:fill="D9E2F3"/>
          </w:tcPr>
          <w:p>
            <w:r/>
            <w:r>
              <w:rPr>
                <w:rFonts w:ascii="Aptos" w:hAnsi="Aptos"/>
                <w:b/>
                <w:sz w:val="15"/>
              </w:rPr>
              <w:t>Frozen rule</w:t>
            </w:r>
          </w:p>
        </w:tc>
      </w:tr>
      <w:tr>
        <w:tc>
          <w:tcPr>
            <w:tcW w:type="dxa" w:w="5040"/>
            <w:vAlign w:val="top"/>
          </w:tcPr>
          <w:p>
            <w:r/>
            <w:r>
              <w:rPr>
                <w:rFonts w:ascii="Aptos" w:hAnsi="Aptos"/>
                <w:b w:val="0"/>
                <w:sz w:val="14"/>
              </w:rPr>
              <w:t>Public rule knowledge</w:t>
            </w:r>
          </w:p>
        </w:tc>
        <w:tc>
          <w:tcPr>
            <w:tcW w:type="dxa" w:w="5040"/>
            <w:vAlign w:val="top"/>
          </w:tcPr>
          <w:p>
            <w:r/>
            <w:r>
              <w:rPr>
                <w:rFonts w:ascii="Aptos" w:hAnsi="Aptos"/>
                <w:b w:val="0"/>
                <w:sz w:val="14"/>
              </w:rPr>
              <w:t>At t0 all agents know that normal qualification requires four stages and that an emergency pathway exists with the stated evidence trigger and minimum two stages.</w:t>
            </w:r>
          </w:p>
        </w:tc>
      </w:tr>
      <w:tr>
        <w:tc>
          <w:tcPr>
            <w:tcW w:type="dxa" w:w="5040"/>
            <w:vAlign w:val="top"/>
          </w:tcPr>
          <w:p>
            <w:r/>
            <w:r>
              <w:rPr>
                <w:rFonts w:ascii="Aptos" w:hAnsi="Aptos"/>
                <w:b w:val="0"/>
                <w:sz w:val="14"/>
              </w:rPr>
              <w:t>Emergency trigger A</w:t>
            </w:r>
          </w:p>
        </w:tc>
        <w:tc>
          <w:tcPr>
            <w:tcW w:type="dxa" w:w="5040"/>
            <w:vAlign w:val="top"/>
          </w:tcPr>
          <w:p>
            <w:r/>
            <w:r>
              <w:rPr>
                <w:rFonts w:ascii="Aptos" w:hAnsi="Aptos"/>
                <w:b w:val="0"/>
                <w:sz w:val="14"/>
              </w:rPr>
              <w:t>R has verified evidence that currently qualified/certified board availability is projected, using R's own authoritative/received evidence and rule model, below 60% of aggregate accepted committed requirement for two consecutive upcoming periods.</w:t>
            </w:r>
          </w:p>
        </w:tc>
      </w:tr>
      <w:tr>
        <w:tc>
          <w:tcPr>
            <w:tcW w:type="dxa" w:w="5040"/>
            <w:vAlign w:val="top"/>
          </w:tcPr>
          <w:p>
            <w:r/>
            <w:r>
              <w:rPr>
                <w:rFonts w:ascii="Aptos" w:hAnsi="Aptos"/>
                <w:b w:val="0"/>
                <w:sz w:val="14"/>
              </w:rPr>
              <w:t>Emergency trigger B</w:t>
            </w:r>
          </w:p>
        </w:tc>
        <w:tc>
          <w:tcPr>
            <w:tcW w:type="dxa" w:w="5040"/>
            <w:vAlign w:val="top"/>
          </w:tcPr>
          <w:p>
            <w:r/>
            <w:r>
              <w:rPr>
                <w:rFonts w:ascii="Aptos" w:hAnsi="Aptos"/>
                <w:b w:val="0"/>
                <w:sz w:val="14"/>
              </w:rPr>
              <w:t>An authoritative safety containment removes S1 as an eligible certified source.</w:t>
            </w:r>
          </w:p>
        </w:tc>
      </w:tr>
      <w:tr>
        <w:tc>
          <w:tcPr>
            <w:tcW w:type="dxa" w:w="5040"/>
            <w:vAlign w:val="top"/>
          </w:tcPr>
          <w:p>
            <w:r/>
            <w:r>
              <w:rPr>
                <w:rFonts w:ascii="Aptos" w:hAnsi="Aptos"/>
                <w:b w:val="0"/>
                <w:sz w:val="14"/>
              </w:rPr>
              <w:t>No controller projection leakage</w:t>
            </w:r>
          </w:p>
        </w:tc>
        <w:tc>
          <w:tcPr>
            <w:tcW w:type="dxa" w:w="5040"/>
            <w:vAlign w:val="top"/>
          </w:tcPr>
          <w:p>
            <w:r/>
            <w:r>
              <w:rPr>
                <w:rFonts w:ascii="Aptos" w:hAnsi="Aptos"/>
                <w:b w:val="0"/>
                <w:sz w:val="14"/>
              </w:rPr>
              <w:t>R does not consume M/A/B/C internal recovery projections or evaluator recovery predicates.</w:t>
            </w:r>
          </w:p>
        </w:tc>
      </w:tr>
      <w:tr>
        <w:tc>
          <w:tcPr>
            <w:tcW w:type="dxa" w:w="5040"/>
            <w:vAlign w:val="top"/>
          </w:tcPr>
          <w:p>
            <w:r/>
            <w:r>
              <w:rPr>
                <w:rFonts w:ascii="Aptos" w:hAnsi="Aptos"/>
                <w:b w:val="0"/>
                <w:sz w:val="14"/>
              </w:rPr>
              <w:t>Activation notice</w:t>
            </w:r>
          </w:p>
        </w:tc>
        <w:tc>
          <w:tcPr>
            <w:tcW w:type="dxa" w:w="5040"/>
            <w:vAlign w:val="top"/>
          </w:tcPr>
          <w:p>
            <w:r/>
            <w:r>
              <w:rPr>
                <w:rFonts w:ascii="Aptos" w:hAnsi="Aptos"/>
                <w:b w:val="0"/>
                <w:sz w:val="14"/>
              </w:rPr>
              <w:t>Emergency pathway becomes controller-visible only through R's authoritative notice after R's evidence threshold is met.</w:t>
            </w:r>
          </w:p>
        </w:tc>
      </w:tr>
      <w:tr>
        <w:tc>
          <w:tcPr>
            <w:tcW w:type="dxa" w:w="5040"/>
            <w:vAlign w:val="top"/>
          </w:tcPr>
          <w:p>
            <w:r/>
            <w:r>
              <w:rPr>
                <w:rFonts w:ascii="Aptos" w:hAnsi="Aptos"/>
                <w:b w:val="0"/>
                <w:sz w:val="14"/>
              </w:rPr>
              <w:t>Queue/capacity</w:t>
            </w:r>
          </w:p>
        </w:tc>
        <w:tc>
          <w:tcPr>
            <w:tcW w:type="dxa" w:w="5040"/>
            <w:vAlign w:val="top"/>
          </w:tcPr>
          <w:p>
            <w:r/>
            <w:r>
              <w:rPr>
                <w:rFonts w:ascii="Aptos" w:hAnsi="Aptos"/>
                <w:b w:val="0"/>
                <w:sz w:val="14"/>
              </w:rPr>
              <w:t>R inspection capacity and queue remain as specified in v0.2; emergency status does not create physical PP or waive evidence requirements.</w:t>
            </w:r>
          </w:p>
        </w:tc>
      </w:tr>
    </w:tbl>
    <w:p>
      <w:pPr>
        <w:spacing w:after="20"/>
      </w:pPr>
    </w:p>
    <w:p>
      <w:pPr>
        <w:pStyle w:val="Heading1"/>
      </w:pPr>
      <w:r>
        <w:t>14. S2 External Opportunity and Disclosure (H3)</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Item</w:t>
            </w:r>
          </w:p>
        </w:tc>
        <w:tc>
          <w:tcPr>
            <w:tcW w:type="dxa" w:w="5040"/>
            <w:vAlign w:val="top"/>
            <w:shd w:fill="D9E2F3"/>
          </w:tcPr>
          <w:p>
            <w:r/>
            <w:r>
              <w:rPr>
                <w:rFonts w:ascii="Aptos" w:hAnsi="Aptos"/>
                <w:b/>
                <w:sz w:val="15"/>
              </w:rPr>
              <w:t>Frozen rule</w:t>
            </w:r>
          </w:p>
        </w:tc>
      </w:tr>
      <w:tr>
        <w:tc>
          <w:tcPr>
            <w:tcW w:type="dxa" w:w="5040"/>
            <w:vAlign w:val="top"/>
          </w:tcPr>
          <w:p>
            <w:r/>
            <w:r>
              <w:rPr>
                <w:rFonts w:ascii="Aptos" w:hAnsi="Aptos"/>
                <w:b w:val="0"/>
                <w:sz w:val="14"/>
              </w:rPr>
              <w:t>Opportunity appearance</w:t>
            </w:r>
          </w:p>
        </w:tc>
        <w:tc>
          <w:tcPr>
            <w:tcW w:type="dxa" w:w="5040"/>
            <w:vAlign w:val="top"/>
          </w:tcPr>
          <w:p>
            <w:r/>
            <w:r>
              <w:rPr>
                <w:rFonts w:ascii="Aptos" w:hAnsi="Aptos"/>
                <w:b w:val="0"/>
                <w:sz w:val="14"/>
              </w:rPr>
              <w:t>A pre-seeded external buyer opportunity appears to S2 at the start of period 6 in the deterministic challenge trace; stochastic ensemble uses the same period unless a later fixture explicitly varies it.</w:t>
            </w:r>
          </w:p>
        </w:tc>
      </w:tr>
      <w:tr>
        <w:tc>
          <w:tcPr>
            <w:tcW w:type="dxa" w:w="5040"/>
            <w:vAlign w:val="top"/>
          </w:tcPr>
          <w:p>
            <w:r/>
            <w:r>
              <w:rPr>
                <w:rFonts w:ascii="Aptos" w:hAnsi="Aptos"/>
                <w:b w:val="0"/>
                <w:sz w:val="14"/>
              </w:rPr>
              <w:t>S2 knowledge</w:t>
            </w:r>
          </w:p>
        </w:tc>
        <w:tc>
          <w:tcPr>
            <w:tcW w:type="dxa" w:w="5040"/>
            <w:vAlign w:val="top"/>
          </w:tcPr>
          <w:p>
            <w:r/>
            <w:r>
              <w:rPr>
                <w:rFonts w:ascii="Aptos" w:hAnsi="Aptos"/>
                <w:b w:val="0"/>
                <w:sz w:val="14"/>
              </w:rPr>
              <w:t>S2 knows the opportunity immediately when it appears.</w:t>
            </w:r>
          </w:p>
        </w:tc>
      </w:tr>
      <w:tr>
        <w:tc>
          <w:tcPr>
            <w:tcW w:type="dxa" w:w="5040"/>
            <w:vAlign w:val="top"/>
          </w:tcPr>
          <w:p>
            <w:r/>
            <w:r>
              <w:rPr>
                <w:rFonts w:ascii="Aptos" w:hAnsi="Aptos"/>
                <w:b w:val="0"/>
                <w:sz w:val="14"/>
              </w:rPr>
              <w:t>M knowledge</w:t>
            </w:r>
          </w:p>
        </w:tc>
        <w:tc>
          <w:tcPr>
            <w:tcW w:type="dxa" w:w="5040"/>
            <w:vAlign w:val="top"/>
          </w:tcPr>
          <w:p>
            <w:r/>
            <w:r>
              <w:rPr>
                <w:rFonts w:ascii="Aptos" w:hAnsi="Aptos"/>
                <w:b w:val="0"/>
                <w:sz w:val="14"/>
              </w:rPr>
              <w:t>M does not observe it directly. M learns only through S2 disclosure, a capacity/reservation response, or later authoritative market/contract evidence.</w:t>
            </w:r>
          </w:p>
        </w:tc>
      </w:tr>
      <w:tr>
        <w:tc>
          <w:tcPr>
            <w:tcW w:type="dxa" w:w="5040"/>
            <w:vAlign w:val="top"/>
          </w:tcPr>
          <w:p>
            <w:r/>
            <w:r>
              <w:rPr>
                <w:rFonts w:ascii="Aptos" w:hAnsi="Aptos"/>
                <w:b w:val="0"/>
                <w:sz w:val="14"/>
              </w:rPr>
              <w:t>Decision deadline</w:t>
            </w:r>
          </w:p>
        </w:tc>
        <w:tc>
          <w:tcPr>
            <w:tcW w:type="dxa" w:w="5040"/>
            <w:vAlign w:val="top"/>
          </w:tcPr>
          <w:p>
            <w:r/>
            <w:r>
              <w:rPr>
                <w:rFonts w:ascii="Aptos" w:hAnsi="Aptos"/>
                <w:b w:val="0"/>
                <w:sz w:val="14"/>
              </w:rPr>
              <w:t>If M has not executed a qualifying reservation/contract by the end of period 7, the external buyer reserves 30 of S2's 70 weekly capacity for five periods beginning period 8.</w:t>
            </w:r>
          </w:p>
        </w:tc>
      </w:tr>
      <w:tr>
        <w:tc>
          <w:tcPr>
            <w:tcW w:type="dxa" w:w="5040"/>
            <w:vAlign w:val="top"/>
          </w:tcPr>
          <w:p>
            <w:r/>
            <w:r>
              <w:rPr>
                <w:rFonts w:ascii="Aptos" w:hAnsi="Aptos"/>
                <w:b w:val="0"/>
                <w:sz w:val="14"/>
              </w:rPr>
              <w:t>Disclosure</w:t>
            </w:r>
          </w:p>
        </w:tc>
        <w:tc>
          <w:tcPr>
            <w:tcW w:type="dxa" w:w="5040"/>
            <w:vAlign w:val="top"/>
          </w:tcPr>
          <w:p>
            <w:r/>
            <w:r>
              <w:rPr>
                <w:rFonts w:ascii="Aptos" w:hAnsi="Aptos"/>
                <w:b w:val="0"/>
                <w:sz w:val="14"/>
              </w:rPr>
              <w:t>Use Section 10 strategic policy.</w:t>
            </w:r>
          </w:p>
        </w:tc>
      </w:tr>
      <w:tr>
        <w:tc>
          <w:tcPr>
            <w:tcW w:type="dxa" w:w="5040"/>
            <w:vAlign w:val="top"/>
          </w:tcPr>
          <w:p>
            <w:r/>
            <w:r>
              <w:rPr>
                <w:rFonts w:ascii="Aptos" w:hAnsi="Aptos"/>
                <w:b w:val="0"/>
                <w:sz w:val="14"/>
              </w:rPr>
              <w:t>No retroactive inference</w:t>
            </w:r>
          </w:p>
        </w:tc>
        <w:tc>
          <w:tcPr>
            <w:tcW w:type="dxa" w:w="5040"/>
            <w:vAlign w:val="top"/>
          </w:tcPr>
          <w:p>
            <w:r/>
            <w:r>
              <w:rPr>
                <w:rFonts w:ascii="Aptos" w:hAnsi="Aptos"/>
                <w:b w:val="0"/>
                <w:sz w:val="14"/>
              </w:rPr>
              <w:t>Later discovery does not alter what M legitimately knew in periods 6-7.</w:t>
            </w:r>
          </w:p>
        </w:tc>
      </w:tr>
    </w:tbl>
    <w:p>
      <w:pPr>
        <w:spacing w:after="20"/>
      </w:pPr>
    </w:p>
    <w:p>
      <w:pPr>
        <w:pStyle w:val="Heading1"/>
      </w:pPr>
      <w:r>
        <w:t>15. Communication and Counteroffer Rules (H4-H5)</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Item</w:t>
            </w:r>
          </w:p>
        </w:tc>
        <w:tc>
          <w:tcPr>
            <w:tcW w:type="dxa" w:w="5040"/>
            <w:vAlign w:val="top"/>
            <w:shd w:fill="D9E2F3"/>
          </w:tcPr>
          <w:p>
            <w:r/>
            <w:r>
              <w:rPr>
                <w:rFonts w:ascii="Aptos" w:hAnsi="Aptos"/>
                <w:b/>
                <w:sz w:val="15"/>
              </w:rPr>
              <w:t>Frozen rule</w:t>
            </w:r>
          </w:p>
        </w:tc>
      </w:tr>
      <w:tr>
        <w:tc>
          <w:tcPr>
            <w:tcW w:type="dxa" w:w="5040"/>
            <w:vAlign w:val="top"/>
          </w:tcPr>
          <w:p>
            <w:r/>
            <w:r>
              <w:rPr>
                <w:rFonts w:ascii="Aptos" w:hAnsi="Aptos"/>
                <w:b w:val="0"/>
                <w:sz w:val="14"/>
              </w:rPr>
              <w:t>Communication as action</w:t>
            </w:r>
          </w:p>
        </w:tc>
        <w:tc>
          <w:tcPr>
            <w:tcW w:type="dxa" w:w="5040"/>
            <w:vAlign w:val="top"/>
          </w:tcPr>
          <w:p>
            <w:r/>
            <w:r>
              <w:rPr>
                <w:rFonts w:ascii="Aptos" w:hAnsi="Aptos"/>
                <w:b w:val="0"/>
                <w:sz w:val="14"/>
              </w:rPr>
              <w:t>A proposal/message that changes terms, requests acceptance, reserves capacity, requests financing, or initiates qualification is an action object and consumes one proposal slot.</w:t>
            </w:r>
          </w:p>
        </w:tc>
      </w:tr>
      <w:tr>
        <w:tc>
          <w:tcPr>
            <w:tcW w:type="dxa" w:w="5040"/>
            <w:vAlign w:val="top"/>
          </w:tcPr>
          <w:p>
            <w:r/>
            <w:r>
              <w:rPr>
                <w:rFonts w:ascii="Aptos" w:hAnsi="Aptos"/>
                <w:b w:val="0"/>
                <w:sz w:val="14"/>
              </w:rPr>
              <w:t>Informational receipt</w:t>
            </w:r>
          </w:p>
        </w:tc>
        <w:tc>
          <w:tcPr>
            <w:tcW w:type="dxa" w:w="5040"/>
            <w:vAlign w:val="top"/>
          </w:tcPr>
          <w:p>
            <w:r/>
            <w:r>
              <w:rPr>
                <w:rFonts w:ascii="Aptos" w:hAnsi="Aptos"/>
                <w:b w:val="0"/>
                <w:sz w:val="14"/>
              </w:rPr>
              <w:t>Receiving a message does not consume an action.</w:t>
            </w:r>
          </w:p>
        </w:tc>
      </w:tr>
      <w:tr>
        <w:tc>
          <w:tcPr>
            <w:tcW w:type="dxa" w:w="5040"/>
            <w:vAlign w:val="top"/>
          </w:tcPr>
          <w:p>
            <w:r/>
            <w:r>
              <w:rPr>
                <w:rFonts w:ascii="Aptos" w:hAnsi="Aptos"/>
                <w:b w:val="0"/>
                <w:sz w:val="14"/>
              </w:rPr>
              <w:t>Per-period proposal slots</w:t>
            </w:r>
          </w:p>
        </w:tc>
        <w:tc>
          <w:tcPr>
            <w:tcW w:type="dxa" w:w="5040"/>
            <w:vAlign w:val="top"/>
          </w:tcPr>
          <w:p>
            <w:r/>
            <w:r>
              <w:rPr>
                <w:rFonts w:ascii="Aptos" w:hAnsi="Aptos"/>
                <w:b w:val="0"/>
                <w:sz w:val="14"/>
              </w:rPr>
              <w:t>Each economic agent may issue up to two externally directed proposals plus one internal/physical action where the role grammar permits; mutually exclusive physical actions remain mutually exclusive.</w:t>
            </w:r>
          </w:p>
        </w:tc>
      </w:tr>
      <w:tr>
        <w:tc>
          <w:tcPr>
            <w:tcW w:type="dxa" w:w="5040"/>
            <w:vAlign w:val="top"/>
          </w:tcPr>
          <w:p>
            <w:r/>
            <w:r>
              <w:rPr>
                <w:rFonts w:ascii="Aptos" w:hAnsi="Aptos"/>
                <w:b w:val="0"/>
                <w:sz w:val="14"/>
              </w:rPr>
              <w:t>Computation</w:t>
            </w:r>
          </w:p>
        </w:tc>
        <w:tc>
          <w:tcPr>
            <w:tcW w:type="dxa" w:w="5040"/>
            <w:vAlign w:val="top"/>
          </w:tcPr>
          <w:p>
            <w:r/>
            <w:r>
              <w:rPr>
                <w:rFonts w:ascii="Aptos" w:hAnsi="Aptos"/>
                <w:b w:val="0"/>
                <w:sz w:val="14"/>
              </w:rPr>
              <w:t>Proposal generation/evaluation is inside the same controller computation ceiling.</w:t>
            </w:r>
          </w:p>
        </w:tc>
      </w:tr>
      <w:tr>
        <w:tc>
          <w:tcPr>
            <w:tcW w:type="dxa" w:w="5040"/>
            <w:vAlign w:val="top"/>
          </w:tcPr>
          <w:p>
            <w:r/>
            <w:r>
              <w:rPr>
                <w:rFonts w:ascii="Aptos" w:hAnsi="Aptos"/>
                <w:b w:val="0"/>
                <w:sz w:val="14"/>
              </w:rPr>
              <w:t>Counteroffer phase</w:t>
            </w:r>
          </w:p>
        </w:tc>
        <w:tc>
          <w:tcPr>
            <w:tcW w:type="dxa" w:w="5040"/>
            <w:vAlign w:val="top"/>
          </w:tcPr>
          <w:p>
            <w:r/>
            <w:r>
              <w:rPr>
                <w:rFonts w:ascii="Aptos" w:hAnsi="Aptos"/>
                <w:b w:val="0"/>
                <w:sz w:val="14"/>
              </w:rPr>
              <w:t>No same-period counteroffer loop in the primary benchmark.</w:t>
            </w:r>
          </w:p>
        </w:tc>
      </w:tr>
      <w:tr>
        <w:tc>
          <w:tcPr>
            <w:tcW w:type="dxa" w:w="5040"/>
            <w:vAlign w:val="top"/>
          </w:tcPr>
          <w:p>
            <w:r/>
            <w:r>
              <w:rPr>
                <w:rFonts w:ascii="Aptos" w:hAnsi="Aptos"/>
                <w:b w:val="0"/>
                <w:sz w:val="14"/>
              </w:rPr>
              <w:t>Response</w:t>
            </w:r>
          </w:p>
        </w:tc>
        <w:tc>
          <w:tcPr>
            <w:tcW w:type="dxa" w:w="5040"/>
            <w:vAlign w:val="top"/>
          </w:tcPr>
          <w:p>
            <w:r/>
            <w:r>
              <w:rPr>
                <w:rFonts w:ascii="Aptos" w:hAnsi="Aptos"/>
                <w:b w:val="0"/>
                <w:sz w:val="14"/>
              </w:rPr>
              <w:t>Counterparty accepts/rejects the proposal in its decision phase. A rejected proposal can be revised only next period unless a pre-frozen same-phase fallback was included in the original action grammar.</w:t>
            </w:r>
          </w:p>
        </w:tc>
      </w:tr>
      <w:tr>
        <w:tc>
          <w:tcPr>
            <w:tcW w:type="dxa" w:w="5040"/>
            <w:vAlign w:val="top"/>
          </w:tcPr>
          <w:p>
            <w:r/>
            <w:r>
              <w:rPr>
                <w:rFonts w:ascii="Aptos" w:hAnsi="Aptos"/>
                <w:b w:val="0"/>
                <w:sz w:val="14"/>
              </w:rPr>
              <w:t>Purpose</w:t>
            </w:r>
          </w:p>
        </w:tc>
        <w:tc>
          <w:tcPr>
            <w:tcW w:type="dxa" w:w="5040"/>
            <w:vAlign w:val="top"/>
          </w:tcPr>
          <w:p>
            <w:r/>
            <w:r>
              <w:rPr>
                <w:rFonts w:ascii="Aptos" w:hAnsi="Aptos"/>
                <w:b w:val="0"/>
                <w:sz w:val="14"/>
              </w:rPr>
              <w:t>Avoid negotiation-loop complexity and regime-specific communication advantage.</w:t>
            </w:r>
          </w:p>
        </w:tc>
      </w:tr>
    </w:tbl>
    <w:p>
      <w:pPr>
        <w:spacing w:after="20"/>
      </w:pPr>
    </w:p>
    <w:p>
      <w:pPr>
        <w:pStyle w:val="Heading1"/>
      </w:pPr>
      <w:r>
        <w:t>16. Post-Customer-Termination Boundary (H6)</w:t>
      </w:r>
    </w:p>
    <w:p>
      <w:r>
        <w:t>C termination of the AM-40 contract is an irreversible product-line event in the primary benchmark. The primary run continues only long enough to process already-created delayed consequences and ledger closure for that period, then terminates the AM-40 experiment. No alternate customer market is introduced in the primary deterministic or stochastic benchmark.</w:t>
      </w:r>
    </w:p>
    <w:p>
      <w:r>
        <w:t>A future alternate-market extension would be a new benchmark version, not an implementation detail.</w:t>
      </w:r>
    </w:p>
    <w:p>
      <w:pPr>
        <w:pStyle w:val="Heading1"/>
      </w:pPr>
      <w:r>
        <w:t>17. Focal-Manufacturer Common Counterpart Policy (B11)</w:t>
      </w:r>
    </w:p>
    <w:p>
      <w:r>
        <w:t>For focal-M sensitivity runs, S1, S2, C, L, and T use one common frozen counterpart policy independent of M's regime. The policy is the role-specific C/local rule from Section 8, augmented only with authoritative contract acceptance rules and the strategic-message policy in Section 10. R remains the frozen institutional process.</w:t>
      </w:r>
    </w:p>
    <w:p>
      <w:pPr>
        <w:pStyle w:val="ListBullet"/>
        <w:spacing w:after="20"/>
      </w:pPr>
      <w:r>
        <w:t>Counterpart controllers receive their own legitimate PRE packets only.</w:t>
      </w:r>
    </w:p>
    <w:p>
      <w:pPr>
        <w:pStyle w:val="ListBullet"/>
        <w:spacing w:after="20"/>
      </w:pPr>
      <w:r>
        <w:t>They do not know whether M is A, B, or C.</w:t>
      </w:r>
    </w:p>
    <w:p>
      <w:pPr>
        <w:pStyle w:val="ListBullet"/>
        <w:spacing w:after="20"/>
      </w:pPr>
      <w:r>
        <w:t>They use identical code/configuration across FM-A, FM-B, and FM-C.</w:t>
      </w:r>
    </w:p>
    <w:p>
      <w:pPr>
        <w:pStyle w:val="ListBullet"/>
        <w:spacing w:after="20"/>
      </w:pPr>
      <w:r>
        <w:t>Strategic-message random keys are coupled across matched focal-M runs where counterpart state remains matched.</w:t>
      </w:r>
    </w:p>
    <w:p>
      <w:pPr>
        <w:pStyle w:val="ListBullet"/>
        <w:spacing w:after="20"/>
      </w:pPr>
      <w:r>
        <w:t>This panel is diagnostic and does not replace the homogeneous primary population comparison.</w:t>
      </w:r>
    </w:p>
    <w:p>
      <w:pPr>
        <w:pStyle w:val="Heading1"/>
      </w:pPr>
      <w:r>
        <w:t>18. Oracle Diagnostic Protocol (B12)</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Oracle</w:t>
            </w:r>
          </w:p>
        </w:tc>
        <w:tc>
          <w:tcPr>
            <w:tcW w:type="dxa" w:w="5040"/>
            <w:vAlign w:val="top"/>
            <w:shd w:fill="D9E2F3"/>
          </w:tcPr>
          <w:p>
            <w:r/>
            <w:r>
              <w:rPr>
                <w:rFonts w:ascii="Aptos" w:hAnsi="Aptos"/>
                <w:b/>
                <w:sz w:val="15"/>
              </w:rPr>
              <w:t>Frozen diagnostic</w:t>
            </w:r>
          </w:p>
        </w:tc>
      </w:tr>
      <w:tr>
        <w:tc>
          <w:tcPr>
            <w:tcW w:type="dxa" w:w="5040"/>
            <w:vAlign w:val="top"/>
          </w:tcPr>
          <w:p>
            <w:r/>
            <w:r>
              <w:rPr>
                <w:rFonts w:ascii="Aptos" w:hAnsi="Aptos"/>
                <w:b w:val="0"/>
                <w:sz w:val="14"/>
              </w:rPr>
              <w:t>O1 State oracle</w:t>
            </w:r>
          </w:p>
        </w:tc>
        <w:tc>
          <w:tcPr>
            <w:tcW w:type="dxa" w:w="5040"/>
            <w:vAlign w:val="top"/>
          </w:tcPr>
          <w:p>
            <w:r/>
            <w:r>
              <w:rPr>
                <w:rFonts w:ascii="Aptos" w:hAnsi="Aptos"/>
                <w:b w:val="0"/>
                <w:sz w:val="14"/>
              </w:rPr>
              <w:t>Receives actual current state and clean-world reachability, not future random draws. Search horizon: eight transitions from the diagnosis point. Evaluation ceiling: 250,000 transition evaluations.</w:t>
            </w:r>
          </w:p>
        </w:tc>
      </w:tr>
      <w:tr>
        <w:tc>
          <w:tcPr>
            <w:tcW w:type="dxa" w:w="5040"/>
            <w:vAlign w:val="top"/>
          </w:tcPr>
          <w:p>
            <w:r/>
            <w:r>
              <w:rPr>
                <w:rFonts w:ascii="Aptos" w:hAnsi="Aptos"/>
                <w:b w:val="0"/>
                <w:sz w:val="14"/>
              </w:rPr>
              <w:t>O2 Clairvoyant trace oracle</w:t>
            </w:r>
          </w:p>
        </w:tc>
        <w:tc>
          <w:tcPr>
            <w:tcW w:type="dxa" w:w="5040"/>
            <w:vAlign w:val="top"/>
          </w:tcPr>
          <w:p>
            <w:r/>
            <w:r>
              <w:rPr>
                <w:rFonts w:ascii="Aptos" w:hAnsi="Aptos"/>
                <w:b w:val="0"/>
                <w:sz w:val="14"/>
              </w:rPr>
              <w:t>Receives actual current state plus the already-realized future exogenous/random trace for the diagnostic branch. Horizon: through primary run horizon or eight transitions, whichever is longer but capped at twelve transitions. Evaluation ceiling: 1,000,000.</w:t>
            </w:r>
          </w:p>
        </w:tc>
      </w:tr>
      <w:tr>
        <w:tc>
          <w:tcPr>
            <w:tcW w:type="dxa" w:w="5040"/>
            <w:vAlign w:val="top"/>
          </w:tcPr>
          <w:p>
            <w:r/>
            <w:r>
              <w:rPr>
                <w:rFonts w:ascii="Aptos" w:hAnsi="Aptos"/>
                <w:b w:val="0"/>
                <w:sz w:val="14"/>
              </w:rPr>
              <w:t>Search grammar</w:t>
            </w:r>
          </w:p>
        </w:tc>
        <w:tc>
          <w:tcPr>
            <w:tcW w:type="dxa" w:w="5040"/>
            <w:vAlign w:val="top"/>
          </w:tcPr>
          <w:p>
            <w:r/>
            <w:r>
              <w:rPr>
                <w:rFonts w:ascii="Aptos" w:hAnsi="Aptos"/>
                <w:b w:val="0"/>
                <w:sz w:val="14"/>
              </w:rPr>
              <w:t>Same world action grammar, physical/institutional constraints, joint-feasibility rules, and commitment mechanics as primary benchmark.</w:t>
            </w:r>
          </w:p>
        </w:tc>
      </w:tr>
      <w:tr>
        <w:tc>
          <w:tcPr>
            <w:tcW w:type="dxa" w:w="5040"/>
            <w:vAlign w:val="top"/>
          </w:tcPr>
          <w:p>
            <w:r/>
            <w:r>
              <w:rPr>
                <w:rFonts w:ascii="Aptos" w:hAnsi="Aptos"/>
                <w:b w:val="0"/>
                <w:sz w:val="14"/>
              </w:rPr>
              <w:t>Objective</w:t>
            </w:r>
          </w:p>
        </w:tc>
        <w:tc>
          <w:tcPr>
            <w:tcW w:type="dxa" w:w="5040"/>
            <w:vAlign w:val="top"/>
          </w:tcPr>
          <w:p>
            <w:r/>
            <w:r>
              <w:rPr>
                <w:rFonts w:ascii="Aptos" w:hAnsi="Aptos"/>
                <w:b w:val="0"/>
                <w:sz w:val="14"/>
              </w:rPr>
              <w:t>Find any policy path satisfying the actual evaluator recovery predicate; if none, maximize damage-containment diagnostics only for search guidance, not for controller comparison.</w:t>
            </w:r>
          </w:p>
        </w:tc>
      </w:tr>
      <w:tr>
        <w:tc>
          <w:tcPr>
            <w:tcW w:type="dxa" w:w="5040"/>
            <w:vAlign w:val="top"/>
          </w:tcPr>
          <w:p>
            <w:r/>
            <w:r>
              <w:rPr>
                <w:rFonts w:ascii="Aptos" w:hAnsi="Aptos"/>
                <w:b w:val="0"/>
                <w:sz w:val="14"/>
              </w:rPr>
              <w:t>Proven infeasible</w:t>
            </w:r>
          </w:p>
        </w:tc>
        <w:tc>
          <w:tcPr>
            <w:tcW w:type="dxa" w:w="5040"/>
            <w:vAlign w:val="top"/>
          </w:tcPr>
          <w:p>
            <w:r/>
            <w:r>
              <w:rPr>
                <w:rFonts w:ascii="Aptos" w:hAnsi="Aptos"/>
                <w:b w:val="0"/>
                <w:sz w:val="14"/>
              </w:rPr>
              <w:t>Only when the diagnostic search method is exhaustive over the frozen finite grammar for the relevant horizon or has a separately validated completeness certificate.</w:t>
            </w:r>
          </w:p>
        </w:tc>
      </w:tr>
      <w:tr>
        <w:tc>
          <w:tcPr>
            <w:tcW w:type="dxa" w:w="5040"/>
            <w:vAlign w:val="top"/>
          </w:tcPr>
          <w:p>
            <w:r/>
            <w:r>
              <w:rPr>
                <w:rFonts w:ascii="Aptos" w:hAnsi="Aptos"/>
                <w:b w:val="0"/>
                <w:sz w:val="14"/>
              </w:rPr>
              <w:t>Undetermined</w:t>
            </w:r>
          </w:p>
        </w:tc>
        <w:tc>
          <w:tcPr>
            <w:tcW w:type="dxa" w:w="5040"/>
            <w:vAlign w:val="top"/>
          </w:tcPr>
          <w:p>
            <w:r/>
            <w:r>
              <w:rPr>
                <w:rFonts w:ascii="Aptos" w:hAnsi="Aptos"/>
                <w:b w:val="0"/>
                <w:sz w:val="14"/>
              </w:rPr>
              <w:t>Any timeout/non-exhaustive failure to find recovery remains UNDETERMINED, never 'world infeasible.'</w:t>
            </w:r>
          </w:p>
        </w:tc>
      </w:tr>
      <w:tr>
        <w:tc>
          <w:tcPr>
            <w:tcW w:type="dxa" w:w="5040"/>
            <w:vAlign w:val="top"/>
          </w:tcPr>
          <w:p>
            <w:r/>
            <w:r>
              <w:rPr>
                <w:rFonts w:ascii="Aptos" w:hAnsi="Aptos"/>
                <w:b w:val="0"/>
                <w:sz w:val="14"/>
              </w:rPr>
              <w:t>Isolation</w:t>
            </w:r>
          </w:p>
        </w:tc>
        <w:tc>
          <w:tcPr>
            <w:tcW w:type="dxa" w:w="5040"/>
            <w:vAlign w:val="top"/>
          </w:tcPr>
          <w:p>
            <w:r/>
            <w:r>
              <w:rPr>
                <w:rFonts w:ascii="Aptos" w:hAnsi="Aptos"/>
                <w:b w:val="0"/>
                <w:sz w:val="14"/>
              </w:rPr>
              <w:t>Oracle code/module has no import/interface path into primary controller PRE construction.</w:t>
            </w:r>
          </w:p>
        </w:tc>
      </w:tr>
    </w:tbl>
    <w:p>
      <w:pPr>
        <w:spacing w:after="20"/>
      </w:pPr>
    </w:p>
    <w:p>
      <w:pPr>
        <w:pStyle w:val="Heading1"/>
      </w:pPr>
      <w:r>
        <w:t>19. Outcome and Ledger Edge Resolutions (H7-H8)</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Issue</w:t>
            </w:r>
          </w:p>
        </w:tc>
        <w:tc>
          <w:tcPr>
            <w:tcW w:type="dxa" w:w="5040"/>
            <w:vAlign w:val="top"/>
            <w:shd w:fill="D9E2F3"/>
          </w:tcPr>
          <w:p>
            <w:r/>
            <w:r>
              <w:rPr>
                <w:rFonts w:ascii="Aptos" w:hAnsi="Aptos"/>
                <w:b/>
                <w:sz w:val="15"/>
              </w:rPr>
              <w:t>Frozen rule</w:t>
            </w:r>
          </w:p>
        </w:tc>
      </w:tr>
      <w:tr>
        <w:tc>
          <w:tcPr>
            <w:tcW w:type="dxa" w:w="5040"/>
            <w:vAlign w:val="top"/>
          </w:tcPr>
          <w:p>
            <w:r/>
            <w:r>
              <w:rPr>
                <w:rFonts w:ascii="Aptos" w:hAnsi="Aptos"/>
                <w:b w:val="0"/>
                <w:sz w:val="14"/>
              </w:rPr>
              <w:t>Ordinary operating purchases</w:t>
            </w:r>
          </w:p>
        </w:tc>
        <w:tc>
          <w:tcPr>
            <w:tcW w:type="dxa" w:w="5040"/>
            <w:vAlign w:val="top"/>
          </w:tcPr>
          <w:p>
            <w:r/>
            <w:r>
              <w:rPr>
                <w:rFonts w:ascii="Aptos" w:hAnsi="Aptos"/>
                <w:b w:val="0"/>
                <w:sz w:val="14"/>
              </w:rPr>
              <w:t>Board purchases, ordinary freight, fixed overhead, and normal production cost are reported as operating/resource costs, not adaptation cost.</w:t>
            </w:r>
          </w:p>
        </w:tc>
      </w:tr>
      <w:tr>
        <w:tc>
          <w:tcPr>
            <w:tcW w:type="dxa" w:w="5040"/>
            <w:vAlign w:val="top"/>
          </w:tcPr>
          <w:p>
            <w:r/>
            <w:r>
              <w:rPr>
                <w:rFonts w:ascii="Aptos" w:hAnsi="Aptos"/>
                <w:b w:val="0"/>
                <w:sz w:val="14"/>
              </w:rPr>
              <w:t>Adaptation cost</w:t>
            </w:r>
          </w:p>
        </w:tc>
        <w:tc>
          <w:tcPr>
            <w:tcW w:type="dxa" w:w="5040"/>
            <w:vAlign w:val="top"/>
          </w:tcPr>
          <w:p>
            <w:r/>
            <w:r>
              <w:rPr>
                <w:rFonts w:ascii="Aptos" w:hAnsi="Aptos"/>
                <w:b w:val="0"/>
                <w:sz w:val="14"/>
              </w:rPr>
              <w:t>Incremental qualification, tooling, reservation fees, expedite premium above normal freight, rework/containment increment, covenant amendment fees, switching, and supplier-assistance costs.</w:t>
            </w:r>
          </w:p>
        </w:tc>
      </w:tr>
      <w:tr>
        <w:tc>
          <w:tcPr>
            <w:tcW w:type="dxa" w:w="5040"/>
            <w:vAlign w:val="top"/>
          </w:tcPr>
          <w:p>
            <w:r/>
            <w:r>
              <w:rPr>
                <w:rFonts w:ascii="Aptos" w:hAnsi="Aptos"/>
                <w:b w:val="0"/>
                <w:sz w:val="14"/>
              </w:rPr>
              <w:t>Degraded stabilization</w:t>
            </w:r>
          </w:p>
        </w:tc>
        <w:tc>
          <w:tcPr>
            <w:tcW w:type="dxa" w:w="5040"/>
            <w:vAlign w:val="top"/>
          </w:tcPr>
          <w:p>
            <w:r/>
            <w:r>
              <w:rPr>
                <w:rFonts w:ascii="Aptos" w:hAnsi="Aptos"/>
                <w:b w:val="0"/>
                <w:sz w:val="14"/>
              </w:rPr>
              <w:t>No sustained recovery and no terminal event; for three consecutive period-ends: customer shortage does not increase, no new irreversible event occurs, every critical M PP domain changes by &gt;=0 relative to the prior period or any decline is &lt;=2 points and offset by a documented active restoration action, and cash/financing remains nonnegative/reachable.</w:t>
            </w:r>
          </w:p>
        </w:tc>
      </w:tr>
      <w:tr>
        <w:tc>
          <w:tcPr>
            <w:tcW w:type="dxa" w:w="5040"/>
            <w:vAlign w:val="top"/>
          </w:tcPr>
          <w:p>
            <w:r/>
            <w:r>
              <w:rPr>
                <w:rFonts w:ascii="Aptos" w:hAnsi="Aptos"/>
                <w:b w:val="0"/>
                <w:sz w:val="14"/>
              </w:rPr>
              <w:t>Cascade root</w:t>
            </w:r>
          </w:p>
        </w:tc>
        <w:tc>
          <w:tcPr>
            <w:tcW w:type="dxa" w:w="5040"/>
            <w:vAlign w:val="top"/>
          </w:tcPr>
          <w:p>
            <w:r/>
            <w:r>
              <w:rPr>
                <w:rFonts w:ascii="Aptos" w:hAnsi="Aptos"/>
                <w:b w:val="0"/>
                <w:sz w:val="14"/>
              </w:rPr>
              <w:t>Earliest material exogenous/action/commitment event in a directed dependency chain not itself downstream of another counted root.</w:t>
            </w:r>
          </w:p>
        </w:tc>
      </w:tr>
      <w:tr>
        <w:tc>
          <w:tcPr>
            <w:tcW w:type="dxa" w:w="5040"/>
            <w:vAlign w:val="top"/>
          </w:tcPr>
          <w:p>
            <w:r/>
            <w:r>
              <w:rPr>
                <w:rFonts w:ascii="Aptos" w:hAnsi="Aptos"/>
                <w:b w:val="0"/>
                <w:sz w:val="14"/>
              </w:rPr>
              <w:t>Overlapping cascades</w:t>
            </w:r>
          </w:p>
        </w:tc>
        <w:tc>
          <w:tcPr>
            <w:tcW w:type="dxa" w:w="5040"/>
            <w:vAlign w:val="top"/>
          </w:tcPr>
          <w:p>
            <w:r/>
            <w:r>
              <w:rPr>
                <w:rFonts w:ascii="Aptos" w:hAnsi="Aptos"/>
                <w:b w:val="0"/>
                <w:sz w:val="14"/>
              </w:rPr>
              <w:t>If two candidate roots converge on the same downstream event, count both only when each has an independently necessary causal contribution under the frozen world rules; otherwise retain the earlier/root-most chain and record the second as a contributing branch.</w:t>
            </w:r>
          </w:p>
        </w:tc>
      </w:tr>
      <w:tr>
        <w:tc>
          <w:tcPr>
            <w:tcW w:type="dxa" w:w="5040"/>
            <w:vAlign w:val="top"/>
          </w:tcPr>
          <w:p>
            <w:r/>
            <w:r>
              <w:rPr>
                <w:rFonts w:ascii="Aptos" w:hAnsi="Aptos"/>
                <w:b w:val="0"/>
                <w:sz w:val="14"/>
              </w:rPr>
              <w:t>No post hoc scalar</w:t>
            </w:r>
          </w:p>
        </w:tc>
        <w:tc>
          <w:tcPr>
            <w:tcW w:type="dxa" w:w="5040"/>
            <w:vAlign w:val="top"/>
          </w:tcPr>
          <w:p>
            <w:r/>
            <w:r>
              <w:rPr>
                <w:rFonts w:ascii="Aptos" w:hAnsi="Aptos"/>
                <w:b w:val="0"/>
                <w:sz w:val="14"/>
              </w:rPr>
              <w:t>These edge rules do not create a composite severity score.</w:t>
            </w:r>
          </w:p>
        </w:tc>
      </w:tr>
    </w:tbl>
    <w:p>
      <w:pPr>
        <w:spacing w:after="20"/>
      </w:pPr>
    </w:p>
    <w:p>
      <w:pPr>
        <w:pStyle w:val="Heading1"/>
      </w:pPr>
      <w:r>
        <w:t>20. Statistical and Blinding Plan (H9)</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Item</w:t>
            </w:r>
          </w:p>
        </w:tc>
        <w:tc>
          <w:tcPr>
            <w:tcW w:type="dxa" w:w="5040"/>
            <w:vAlign w:val="top"/>
            <w:shd w:fill="D9E2F3"/>
          </w:tcPr>
          <w:p>
            <w:r/>
            <w:r>
              <w:rPr>
                <w:rFonts w:ascii="Aptos" w:hAnsi="Aptos"/>
                <w:b/>
                <w:sz w:val="15"/>
              </w:rPr>
              <w:t>Frozen rule</w:t>
            </w:r>
          </w:p>
        </w:tc>
      </w:tr>
      <w:tr>
        <w:tc>
          <w:tcPr>
            <w:tcW w:type="dxa" w:w="5040"/>
            <w:vAlign w:val="top"/>
          </w:tcPr>
          <w:p>
            <w:r/>
            <w:r>
              <w:rPr>
                <w:rFonts w:ascii="Aptos" w:hAnsi="Aptos"/>
                <w:b w:val="0"/>
                <w:sz w:val="14"/>
              </w:rPr>
              <w:t>Primary summaries</w:t>
            </w:r>
          </w:p>
        </w:tc>
        <w:tc>
          <w:tcPr>
            <w:tcW w:type="dxa" w:w="5040"/>
            <w:vAlign w:val="top"/>
          </w:tcPr>
          <w:p>
            <w:r/>
            <w:r>
              <w:rPr>
                <w:rFonts w:ascii="Aptos" w:hAnsi="Aptos"/>
                <w:b w:val="0"/>
                <w:sz w:val="14"/>
              </w:rPr>
              <w:t>Native-unit means, medians, SD, IQR, predeclared 10th/90th percentiles; binary counts/proportions; per-domain PP distributions.</w:t>
            </w:r>
          </w:p>
        </w:tc>
      </w:tr>
      <w:tr>
        <w:tc>
          <w:tcPr>
            <w:tcW w:type="dxa" w:w="5040"/>
            <w:vAlign w:val="top"/>
          </w:tcPr>
          <w:p>
            <w:r/>
            <w:r>
              <w:rPr>
                <w:rFonts w:ascii="Aptos" w:hAnsi="Aptos"/>
                <w:b w:val="0"/>
                <w:sz w:val="14"/>
              </w:rPr>
              <w:t>Paired reporting</w:t>
            </w:r>
          </w:p>
        </w:tc>
        <w:tc>
          <w:tcPr>
            <w:tcW w:type="dxa" w:w="5040"/>
            <w:vAlign w:val="top"/>
          </w:tcPr>
          <w:p>
            <w:r/>
            <w:r>
              <w:rPr>
                <w:rFonts w:ascii="Aptos" w:hAnsi="Aptos"/>
                <w:b w:val="0"/>
                <w:sz w:val="14"/>
              </w:rPr>
              <w:t>A-B0...B4 and A-C paired seed differences where common-random coupling remains meaningful.</w:t>
            </w:r>
          </w:p>
        </w:tc>
      </w:tr>
      <w:tr>
        <w:tc>
          <w:tcPr>
            <w:tcW w:type="dxa" w:w="5040"/>
            <w:vAlign w:val="top"/>
          </w:tcPr>
          <w:p>
            <w:r/>
            <w:r>
              <w:rPr>
                <w:rFonts w:ascii="Aptos" w:hAnsi="Aptos"/>
                <w:b w:val="0"/>
                <w:sz w:val="14"/>
              </w:rPr>
              <w:t>Intervals</w:t>
            </w:r>
          </w:p>
        </w:tc>
        <w:tc>
          <w:tcPr>
            <w:tcW w:type="dxa" w:w="5040"/>
            <w:vAlign w:val="top"/>
          </w:tcPr>
          <w:p>
            <w:r/>
            <w:r>
              <w:rPr>
                <w:rFonts w:ascii="Aptos" w:hAnsi="Aptos"/>
                <w:b w:val="0"/>
                <w:sz w:val="14"/>
              </w:rPr>
              <w:t>95% bootstrap percentile confidence intervals using 10,000 resamples of seed-level paired differences; deterministic trace reported separately without inferential CI.</w:t>
            </w:r>
          </w:p>
        </w:tc>
      </w:tr>
      <w:tr>
        <w:tc>
          <w:tcPr>
            <w:tcW w:type="dxa" w:w="5040"/>
            <w:vAlign w:val="top"/>
          </w:tcPr>
          <w:p>
            <w:r/>
            <w:r>
              <w:rPr>
                <w:rFonts w:ascii="Aptos" w:hAnsi="Aptos"/>
                <w:b w:val="0"/>
                <w:sz w:val="14"/>
              </w:rPr>
              <w:t>Binary paired outcomes</w:t>
            </w:r>
          </w:p>
        </w:tc>
        <w:tc>
          <w:tcPr>
            <w:tcW w:type="dxa" w:w="5040"/>
            <w:vAlign w:val="top"/>
          </w:tcPr>
          <w:p>
            <w:r/>
            <w:r>
              <w:rPr>
                <w:rFonts w:ascii="Aptos" w:hAnsi="Aptos"/>
                <w:b w:val="0"/>
                <w:sz w:val="14"/>
              </w:rPr>
              <w:t>Report matched contingency table and exact McNemar test only as secondary inference.</w:t>
            </w:r>
          </w:p>
        </w:tc>
      </w:tr>
      <w:tr>
        <w:tc>
          <w:tcPr>
            <w:tcW w:type="dxa" w:w="5040"/>
            <w:vAlign w:val="top"/>
          </w:tcPr>
          <w:p>
            <w:r/>
            <w:r>
              <w:rPr>
                <w:rFonts w:ascii="Aptos" w:hAnsi="Aptos"/>
                <w:b w:val="0"/>
                <w:sz w:val="14"/>
              </w:rPr>
              <w:t>Continuous/count paired tests</w:t>
            </w:r>
          </w:p>
        </w:tc>
        <w:tc>
          <w:tcPr>
            <w:tcW w:type="dxa" w:w="5040"/>
            <w:vAlign w:val="top"/>
          </w:tcPr>
          <w:p>
            <w:r/>
            <w:r>
              <w:rPr>
                <w:rFonts w:ascii="Aptos" w:hAnsi="Aptos"/>
                <w:b w:val="0"/>
                <w:sz w:val="14"/>
              </w:rPr>
              <w:t>Wilcoxon signed-rank as secondary inferential check where nonzero paired differences exist; effect distribution/CI remains primary.</w:t>
            </w:r>
          </w:p>
        </w:tc>
      </w:tr>
      <w:tr>
        <w:tc>
          <w:tcPr>
            <w:tcW w:type="dxa" w:w="5040"/>
            <w:vAlign w:val="top"/>
          </w:tcPr>
          <w:p>
            <w:r/>
            <w:r>
              <w:rPr>
                <w:rFonts w:ascii="Aptos" w:hAnsi="Aptos"/>
                <w:b w:val="0"/>
                <w:sz w:val="14"/>
              </w:rPr>
              <w:t>Multiplicity</w:t>
            </w:r>
          </w:p>
        </w:tc>
        <w:tc>
          <w:tcPr>
            <w:tcW w:type="dxa" w:w="5040"/>
            <w:vAlign w:val="top"/>
          </w:tcPr>
          <w:p>
            <w:r/>
            <w:r>
              <w:rPr>
                <w:rFonts w:ascii="Aptos" w:hAnsi="Aptos"/>
                <w:b w:val="0"/>
                <w:sz w:val="14"/>
              </w:rPr>
              <w:t>Formal p-values, if reported, use Holm correction within each predeclared outcome family. No significance-based metric selection.</w:t>
            </w:r>
          </w:p>
        </w:tc>
      </w:tr>
      <w:tr>
        <w:tc>
          <w:tcPr>
            <w:tcW w:type="dxa" w:w="5040"/>
            <w:vAlign w:val="top"/>
          </w:tcPr>
          <w:p>
            <w:r/>
            <w:r>
              <w:rPr>
                <w:rFonts w:ascii="Aptos" w:hAnsi="Aptos"/>
                <w:b w:val="0"/>
                <w:sz w:val="14"/>
              </w:rPr>
              <w:t>Primary outcome families</w:t>
            </w:r>
          </w:p>
        </w:tc>
        <w:tc>
          <w:tcPr>
            <w:tcW w:type="dxa" w:w="5040"/>
            <w:vAlign w:val="top"/>
          </w:tcPr>
          <w:p>
            <w:r/>
            <w:r>
              <w:rPr>
                <w:rFonts w:ascii="Aptos" w:hAnsi="Aptos"/>
                <w:b w:val="0"/>
                <w:sz w:val="14"/>
              </w:rPr>
              <w:t>Continuity/shortage; quality; PP preservation; recovery/terminal; financial/resource; irreversible/cascade; computation.</w:t>
            </w:r>
          </w:p>
        </w:tc>
      </w:tr>
      <w:tr>
        <w:tc>
          <w:tcPr>
            <w:tcW w:type="dxa" w:w="5040"/>
            <w:vAlign w:val="top"/>
          </w:tcPr>
          <w:p>
            <w:r/>
            <w:r>
              <w:rPr>
                <w:rFonts w:ascii="Aptos" w:hAnsi="Aptos"/>
                <w:b w:val="0"/>
                <w:sz w:val="14"/>
              </w:rPr>
              <w:t>Blinding</w:t>
            </w:r>
          </w:p>
        </w:tc>
        <w:tc>
          <w:tcPr>
            <w:tcW w:type="dxa" w:w="5040"/>
            <w:vAlign w:val="top"/>
          </w:tcPr>
          <w:p>
            <w:r/>
            <w:r>
              <w:rPr>
                <w:rFonts w:ascii="Aptos" w:hAnsi="Aptos"/>
                <w:b w:val="0"/>
                <w:sz w:val="14"/>
              </w:rPr>
              <w:t>Primary aggregation script maps regimes to stable anonymous labels before validity/outcome tables are produced. Label key is restored only after the tables and integrity checks are written.</w:t>
            </w:r>
          </w:p>
        </w:tc>
      </w:tr>
      <w:tr>
        <w:tc>
          <w:tcPr>
            <w:tcW w:type="dxa" w:w="5040"/>
            <w:vAlign w:val="top"/>
          </w:tcPr>
          <w:p>
            <w:r/>
            <w:r>
              <w:rPr>
                <w:rFonts w:ascii="Aptos" w:hAnsi="Aptos"/>
                <w:b w:val="0"/>
                <w:sz w:val="14"/>
              </w:rPr>
              <w:t>Pilot/calibration data</w:t>
            </w:r>
          </w:p>
        </w:tc>
        <w:tc>
          <w:tcPr>
            <w:tcW w:type="dxa" w:w="5040"/>
            <w:vAlign w:val="top"/>
          </w:tcPr>
          <w:p>
            <w:r/>
            <w:r>
              <w:rPr>
                <w:rFonts w:ascii="Aptos" w:hAnsi="Aptos"/>
                <w:b w:val="0"/>
                <w:sz w:val="14"/>
              </w:rPr>
              <w:t>Excluded from primary inference and clearly labeled.</w:t>
            </w:r>
          </w:p>
        </w:tc>
      </w:tr>
    </w:tbl>
    <w:p>
      <w:pPr>
        <w:spacing w:after="20"/>
      </w:pPr>
    </w:p>
    <w:p>
      <w:pPr>
        <w:pStyle w:val="Heading1"/>
      </w:pPr>
      <w:r>
        <w:t>21. Cross-Document Supersession Resolutions (C1-C10)</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ID</w:t>
            </w:r>
          </w:p>
        </w:tc>
        <w:tc>
          <w:tcPr>
            <w:tcW w:type="dxa" w:w="5040"/>
            <w:vAlign w:val="top"/>
            <w:shd w:fill="D9E2F3"/>
          </w:tcPr>
          <w:p>
            <w:r/>
            <w:r>
              <w:rPr>
                <w:rFonts w:ascii="Aptos" w:hAnsi="Aptos"/>
                <w:b/>
                <w:sz w:val="15"/>
              </w:rPr>
              <w:t>Resolution</w:t>
            </w:r>
          </w:p>
        </w:tc>
      </w:tr>
      <w:tr>
        <w:tc>
          <w:tcPr>
            <w:tcW w:type="dxa" w:w="5040"/>
            <w:vAlign w:val="top"/>
          </w:tcPr>
          <w:p>
            <w:r/>
            <w:r>
              <w:rPr>
                <w:rFonts w:ascii="Aptos" w:hAnsi="Aptos"/>
                <w:b w:val="0"/>
                <w:sz w:val="14"/>
              </w:rPr>
              <w:t>C1</w:t>
            </w:r>
          </w:p>
        </w:tc>
        <w:tc>
          <w:tcPr>
            <w:tcW w:type="dxa" w:w="5040"/>
            <w:vAlign w:val="top"/>
          </w:tcPr>
          <w:p>
            <w:r/>
            <w:r>
              <w:rPr>
                <w:rFonts w:ascii="Aptos" w:hAnsi="Aptos"/>
                <w:b w:val="0"/>
                <w:sz w:val="14"/>
              </w:rPr>
              <w:t>The period-indexed deterministic challenge skeleton through recovery/terminal periods in v0.2/v0.4 supersedes the early v0.1 'twelve-stage progression' sketch.</w:t>
            </w:r>
          </w:p>
        </w:tc>
      </w:tr>
      <w:tr>
        <w:tc>
          <w:tcPr>
            <w:tcW w:type="dxa" w:w="5040"/>
            <w:vAlign w:val="top"/>
          </w:tcPr>
          <w:p>
            <w:r/>
            <w:r>
              <w:rPr>
                <w:rFonts w:ascii="Aptos" w:hAnsi="Aptos"/>
                <w:b w:val="0"/>
                <w:sz w:val="14"/>
              </w:rPr>
              <w:t>C2</w:t>
            </w:r>
          </w:p>
        </w:tc>
        <w:tc>
          <w:tcPr>
            <w:tcW w:type="dxa" w:w="5040"/>
            <w:vAlign w:val="top"/>
          </w:tcPr>
          <w:p>
            <w:r/>
            <w:r>
              <w:rPr>
                <w:rFonts w:ascii="Aptos" w:hAnsi="Aptos"/>
                <w:b w:val="0"/>
                <w:sz w:val="14"/>
              </w:rPr>
              <w:t>v0.5 controls population design: homogeneous A/B/C economic-agent populations with R institutional; focal-M is secondary.</w:t>
            </w:r>
          </w:p>
        </w:tc>
      </w:tr>
      <w:tr>
        <w:tc>
          <w:tcPr>
            <w:tcW w:type="dxa" w:w="5040"/>
            <w:vAlign w:val="top"/>
          </w:tcPr>
          <w:p>
            <w:r/>
            <w:r>
              <w:rPr>
                <w:rFonts w:ascii="Aptos" w:hAnsi="Aptos"/>
                <w:b w:val="0"/>
                <w:sz w:val="14"/>
              </w:rPr>
              <w:t>C3</w:t>
            </w:r>
          </w:p>
        </w:tc>
        <w:tc>
          <w:tcPr>
            <w:tcW w:type="dxa" w:w="5040"/>
            <w:vAlign w:val="top"/>
          </w:tcPr>
          <w:p>
            <w:r/>
            <w:r>
              <w:rPr>
                <w:rFonts w:ascii="Aptos" w:hAnsi="Aptos"/>
                <w:b w:val="0"/>
                <w:sz w:val="14"/>
              </w:rPr>
              <w:t>Parity occurs at raw eligible evidence before controller adaptation. A uses typed retrieval, B uses the Section-6 estimator, C uses the four-period summary.</w:t>
            </w:r>
          </w:p>
        </w:tc>
      </w:tr>
      <w:tr>
        <w:tc>
          <w:tcPr>
            <w:tcW w:type="dxa" w:w="5040"/>
            <w:vAlign w:val="top"/>
          </w:tcPr>
          <w:p>
            <w:r/>
            <w:r>
              <w:rPr>
                <w:rFonts w:ascii="Aptos" w:hAnsi="Aptos"/>
                <w:b w:val="0"/>
                <w:sz w:val="14"/>
              </w:rPr>
              <w:t>C4</w:t>
            </w:r>
          </w:p>
        </w:tc>
        <w:tc>
          <w:tcPr>
            <w:tcW w:type="dxa" w:w="5040"/>
            <w:vAlign w:val="top"/>
          </w:tcPr>
          <w:p>
            <w:r/>
            <w:r>
              <w:rPr>
                <w:rFonts w:ascii="Aptos" w:hAnsi="Aptos"/>
                <w:b w:val="0"/>
                <w:sz w:val="14"/>
              </w:rPr>
              <w:t>History representation may differ by architecture. Fairness is enforced by identical raw evidence availability, provenance, compute logging, and no oracle truth.</w:t>
            </w:r>
          </w:p>
        </w:tc>
      </w:tr>
      <w:tr>
        <w:tc>
          <w:tcPr>
            <w:tcW w:type="dxa" w:w="5040"/>
            <w:vAlign w:val="top"/>
          </w:tcPr>
          <w:p>
            <w:r/>
            <w:r>
              <w:rPr>
                <w:rFonts w:ascii="Aptos" w:hAnsi="Aptos"/>
                <w:b w:val="0"/>
                <w:sz w:val="14"/>
              </w:rPr>
              <w:t>C5</w:t>
            </w:r>
          </w:p>
        </w:tc>
        <w:tc>
          <w:tcPr>
            <w:tcW w:type="dxa" w:w="5040"/>
            <w:vAlign w:val="top"/>
          </w:tcPr>
          <w:p>
            <w:r/>
            <w:r>
              <w:rPr>
                <w:rFonts w:ascii="Aptos" w:hAnsi="Aptos"/>
                <w:b w:val="0"/>
                <w:sz w:val="14"/>
              </w:rPr>
              <w:t>Evaluator recovery remains controller-hidden and post hoc.</w:t>
            </w:r>
          </w:p>
        </w:tc>
      </w:tr>
      <w:tr>
        <w:tc>
          <w:tcPr>
            <w:tcW w:type="dxa" w:w="5040"/>
            <w:vAlign w:val="top"/>
          </w:tcPr>
          <w:p>
            <w:r/>
            <w:r>
              <w:rPr>
                <w:rFonts w:ascii="Aptos" w:hAnsi="Aptos"/>
                <w:b w:val="0"/>
                <w:sz w:val="14"/>
              </w:rPr>
              <w:t>C6</w:t>
            </w:r>
          </w:p>
        </w:tc>
        <w:tc>
          <w:tcPr>
            <w:tcW w:type="dxa" w:w="5040"/>
            <w:vAlign w:val="top"/>
          </w:tcPr>
          <w:p>
            <w:r/>
            <w:r>
              <w:rPr>
                <w:rFonts w:ascii="Aptos" w:hAnsi="Aptos"/>
                <w:b w:val="0"/>
                <w:sz w:val="14"/>
              </w:rPr>
              <w:t>0-100 PP indices are domain-local benchmark coordinates. Equal numeric scales do not imply commensurability and may not be summed as universal PP.</w:t>
            </w:r>
          </w:p>
        </w:tc>
      </w:tr>
      <w:tr>
        <w:tc>
          <w:tcPr>
            <w:tcW w:type="dxa" w:w="5040"/>
            <w:vAlign w:val="top"/>
          </w:tcPr>
          <w:p>
            <w:r/>
            <w:r>
              <w:rPr>
                <w:rFonts w:ascii="Aptos" w:hAnsi="Aptos"/>
                <w:b w:val="0"/>
                <w:sz w:val="14"/>
              </w:rPr>
              <w:t>C7</w:t>
            </w:r>
          </w:p>
        </w:tc>
        <w:tc>
          <w:tcPr>
            <w:tcW w:type="dxa" w:w="5040"/>
            <w:vAlign w:val="top"/>
          </w:tcPr>
          <w:p>
            <w:r/>
            <w:r>
              <w:rPr>
                <w:rFonts w:ascii="Aptos" w:hAnsi="Aptos"/>
                <w:b w:val="0"/>
                <w:sz w:val="14"/>
              </w:rPr>
              <w:t>The common world action grammar is generated before regime-specific candidate pruning/search.</w:t>
            </w:r>
          </w:p>
        </w:tc>
      </w:tr>
      <w:tr>
        <w:tc>
          <w:tcPr>
            <w:tcW w:type="dxa" w:w="5040"/>
            <w:vAlign w:val="top"/>
          </w:tcPr>
          <w:p>
            <w:r/>
            <w:r>
              <w:rPr>
                <w:rFonts w:ascii="Aptos" w:hAnsi="Aptos"/>
                <w:b w:val="0"/>
                <w:sz w:val="14"/>
              </w:rPr>
              <w:t>C8</w:t>
            </w:r>
          </w:p>
        </w:tc>
        <w:tc>
          <w:tcPr>
            <w:tcW w:type="dxa" w:w="5040"/>
            <w:vAlign w:val="top"/>
          </w:tcPr>
          <w:p>
            <w:r/>
            <w:r>
              <w:rPr>
                <w:rFonts w:ascii="Aptos" w:hAnsi="Aptos"/>
                <w:b w:val="0"/>
                <w:sz w:val="14"/>
              </w:rPr>
              <w:t>B's scalar objective is internal to B and never a cross-regime benchmark outcome.</w:t>
            </w:r>
          </w:p>
        </w:tc>
      </w:tr>
      <w:tr>
        <w:tc>
          <w:tcPr>
            <w:tcW w:type="dxa" w:w="5040"/>
            <w:vAlign w:val="top"/>
          </w:tcPr>
          <w:p>
            <w:r/>
            <w:r>
              <w:rPr>
                <w:rFonts w:ascii="Aptos" w:hAnsi="Aptos"/>
                <w:b w:val="0"/>
                <w:sz w:val="14"/>
              </w:rPr>
              <w:t>C9</w:t>
            </w:r>
          </w:p>
        </w:tc>
        <w:tc>
          <w:tcPr>
            <w:tcW w:type="dxa" w:w="5040"/>
            <w:vAlign w:val="top"/>
          </w:tcPr>
          <w:p>
            <w:r/>
            <w:r>
              <w:rPr>
                <w:rFonts w:ascii="Aptos" w:hAnsi="Aptos"/>
                <w:b w:val="0"/>
                <w:sz w:val="14"/>
              </w:rPr>
              <w:t>Strategic message choice is an endogenous bounded action/evidence event under Sections 10 and 15; message content never rewrites actual state.</w:t>
            </w:r>
          </w:p>
        </w:tc>
      </w:tr>
      <w:tr>
        <w:tc>
          <w:tcPr>
            <w:tcW w:type="dxa" w:w="5040"/>
            <w:vAlign w:val="top"/>
          </w:tcPr>
          <w:p>
            <w:r/>
            <w:r>
              <w:rPr>
                <w:rFonts w:ascii="Aptos" w:hAnsi="Aptos"/>
                <w:b w:val="0"/>
                <w:sz w:val="14"/>
              </w:rPr>
              <w:t>C10</w:t>
            </w:r>
          </w:p>
        </w:tc>
        <w:tc>
          <w:tcPr>
            <w:tcW w:type="dxa" w:w="5040"/>
            <w:vAlign w:val="top"/>
          </w:tcPr>
          <w:p>
            <w:r/>
            <w:r>
              <w:rPr>
                <w:rFonts w:ascii="Aptos" w:hAnsi="Aptos"/>
                <w:b w:val="0"/>
                <w:sz w:val="14"/>
              </w:rPr>
              <w:t>All costs, thresholds, horizons, probabilities, weights, retrieval limits, and test parameters in the benchmark are fixtures unless independently identified as canonical authority.</w:t>
            </w:r>
          </w:p>
        </w:tc>
      </w:tr>
    </w:tbl>
    <w:p>
      <w:pPr>
        <w:spacing w:after="20"/>
      </w:pPr>
    </w:p>
    <w:p>
      <w:pPr>
        <w:pStyle w:val="Heading1"/>
      </w:pPr>
      <w:r>
        <w:t>22. Ensemble-Size Calibration Rule</w:t>
      </w:r>
    </w:p>
    <w:p>
      <w:r>
        <w:t>The exact primary N remains a calibration gate, but the choice rule is fixed before controller outcomes.</w:t>
      </w:r>
    </w:p>
    <w:p>
      <w:pPr>
        <w:spacing w:after="20"/>
        <w:ind w:left="317" w:hanging="259"/>
      </w:pPr>
      <w:r>
        <w:rPr>
          <w:b/>
        </w:rPr>
        <w:t xml:space="preserve">1. </w:t>
      </w:r>
      <w:r>
        <w:t>Generate the 1,000-seed master list from a fixed documented generator/key and archive it before any controller run.</w:t>
      </w:r>
    </w:p>
    <w:p>
      <w:pPr>
        <w:spacing w:after="20"/>
        <w:ind w:left="317" w:hanging="259"/>
      </w:pPr>
      <w:r>
        <w:rPr>
          <w:b/>
        </w:rPr>
        <w:t xml:space="preserve">2. </w:t>
      </w:r>
      <w:r>
        <w:t>For N = 100, 250, 500, 1000 using the first N seeds, compute world-only/exogenous frequencies: S1 onset period, initial severity bands, untreated severity draws, T failure frequencies by congestion state, defect frequencies by quality band, and strategic-message mode frequencies.</w:t>
      </w:r>
    </w:p>
    <w:p>
      <w:pPr>
        <w:spacing w:after="20"/>
        <w:ind w:left="317" w:hanging="259"/>
      </w:pPr>
      <w:r>
        <w:rPr>
          <w:b/>
        </w:rPr>
        <w:t xml:space="preserve">3. </w:t>
      </w:r>
      <w:r>
        <w:t>For each N, form 95% binomial intervals for these frequencies and compare point estimates with the N=1000 reference generated without controllers.</w:t>
      </w:r>
    </w:p>
    <w:p>
      <w:pPr>
        <w:spacing w:after="20"/>
        <w:ind w:left="317" w:hanging="259"/>
      </w:pPr>
      <w:r>
        <w:rPr>
          <w:b/>
        </w:rPr>
        <w:t xml:space="preserve">4. </w:t>
      </w:r>
      <w:r>
        <w:t>Choose the smallest candidate N for which every monitored frequency differs from the N=1000 reference by &lt;=0.03 absolute probability and no expected count for a predeclared rare primary event is below 10 where that event is intended for rate comparison.</w:t>
      </w:r>
    </w:p>
    <w:p>
      <w:pPr>
        <w:spacing w:after="20"/>
        <w:ind w:left="317" w:hanging="259"/>
      </w:pPr>
      <w:r>
        <w:rPr>
          <w:b/>
        </w:rPr>
        <w:t xml:space="preserve">5. </w:t>
      </w:r>
      <w:r>
        <w:t>If no N&lt;1000 passes, use 1000.</w:t>
      </w:r>
    </w:p>
    <w:p>
      <w:pPr>
        <w:spacing w:after="20"/>
        <w:ind w:left="317" w:hanging="259"/>
      </w:pPr>
      <w:r>
        <w:rPr>
          <w:b/>
        </w:rPr>
        <w:t xml:space="preserve">6. </w:t>
      </w:r>
      <w:r>
        <w:t>Do not inspect A/B/C outcome differences during this choice.</w:t>
      </w:r>
    </w:p>
    <w:p>
      <w:pPr>
        <w:pStyle w:val="Heading1"/>
      </w:pPr>
      <w:r>
        <w:t>23. Manual Trace Execution Package</w:t>
      </w:r>
    </w:p>
    <w:p>
      <w:r>
        <w:t>The v0.7 audit required twelve paper traces. This addendum freezes what each trace must prove; the traces themselves must be executed and attached to the closure audit before the manifest.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Trace</w:t>
            </w:r>
          </w:p>
        </w:tc>
        <w:tc>
          <w:tcPr>
            <w:tcW w:type="dxa" w:w="5040"/>
            <w:vAlign w:val="top"/>
            <w:shd w:fill="D9E2F3"/>
          </w:tcPr>
          <w:p>
            <w:r/>
            <w:r>
              <w:rPr>
                <w:rFonts w:ascii="Aptos" w:hAnsi="Aptos"/>
                <w:b/>
                <w:sz w:val="15"/>
              </w:rPr>
              <w:t>Pass criteria</w:t>
            </w:r>
          </w:p>
        </w:tc>
      </w:tr>
      <w:tr>
        <w:tc>
          <w:tcPr>
            <w:tcW w:type="dxa" w:w="5040"/>
            <w:vAlign w:val="top"/>
          </w:tcPr>
          <w:p>
            <w:r/>
            <w:r>
              <w:rPr>
                <w:rFonts w:ascii="Aptos" w:hAnsi="Aptos"/>
                <w:b w:val="0"/>
                <w:sz w:val="14"/>
              </w:rPr>
              <w:t>T1 Calm</w:t>
            </w:r>
          </w:p>
        </w:tc>
        <w:tc>
          <w:tcPr>
            <w:tcW w:type="dxa" w:w="5040"/>
            <w:vAlign w:val="top"/>
          </w:tcPr>
          <w:p>
            <w:r/>
            <w:r>
              <w:rPr>
                <w:rFonts w:ascii="Aptos" w:hAnsi="Aptos"/>
                <w:b w:val="0"/>
                <w:sz w:val="14"/>
              </w:rPr>
              <w:t>All regimes can maintain ordinary operation without forced gratuitous adaptation; action/resource arithmetic balances.</w:t>
            </w:r>
          </w:p>
        </w:tc>
      </w:tr>
      <w:tr>
        <w:tc>
          <w:tcPr>
            <w:tcW w:type="dxa" w:w="5040"/>
            <w:vAlign w:val="top"/>
          </w:tcPr>
          <w:p>
            <w:r/>
            <w:r>
              <w:rPr>
                <w:rFonts w:ascii="Aptos" w:hAnsi="Aptos"/>
                <w:b w:val="0"/>
                <w:sz w:val="14"/>
              </w:rPr>
              <w:t>T2 Honest S1</w:t>
            </w:r>
          </w:p>
        </w:tc>
        <w:tc>
          <w:tcPr>
            <w:tcW w:type="dxa" w:w="5040"/>
            <w:vAlign w:val="top"/>
          </w:tcPr>
          <w:p>
            <w:r/>
            <w:r>
              <w:rPr>
                <w:rFonts w:ascii="Aptos" w:hAnsi="Aptos"/>
                <w:b w:val="0"/>
                <w:sz w:val="14"/>
              </w:rPr>
              <w:t>Truthful deterioration evidence reaches matched regimes through legitimate channels; common actions remain available.</w:t>
            </w:r>
          </w:p>
        </w:tc>
      </w:tr>
      <w:tr>
        <w:tc>
          <w:tcPr>
            <w:tcW w:type="dxa" w:w="5040"/>
            <w:vAlign w:val="top"/>
          </w:tcPr>
          <w:p>
            <w:r/>
            <w:r>
              <w:rPr>
                <w:rFonts w:ascii="Aptos" w:hAnsi="Aptos"/>
                <w:b w:val="0"/>
                <w:sz w:val="14"/>
              </w:rPr>
              <w:t>T3 Misleading S1</w:t>
            </w:r>
          </w:p>
        </w:tc>
        <w:tc>
          <w:tcPr>
            <w:tcW w:type="dxa" w:w="5040"/>
            <w:vAlign w:val="top"/>
          </w:tcPr>
          <w:p>
            <w:r/>
            <w:r>
              <w:rPr>
                <w:rFonts w:ascii="Aptos" w:hAnsi="Aptos"/>
                <w:b w:val="0"/>
                <w:sz w:val="14"/>
              </w:rPr>
              <w:t>No oracle correction; known latent S2 path can be omitted/challenged; unknown paths remain unavailable.</w:t>
            </w:r>
          </w:p>
        </w:tc>
      </w:tr>
      <w:tr>
        <w:tc>
          <w:tcPr>
            <w:tcW w:type="dxa" w:w="5040"/>
            <w:vAlign w:val="top"/>
          </w:tcPr>
          <w:p>
            <w:r/>
            <w:r>
              <w:rPr>
                <w:rFonts w:ascii="Aptos" w:hAnsi="Aptos"/>
                <w:b w:val="0"/>
                <w:sz w:val="14"/>
              </w:rPr>
              <w:t>T4 Stale memory</w:t>
            </w:r>
          </w:p>
        </w:tc>
        <w:tc>
          <w:tcPr>
            <w:tcW w:type="dxa" w:w="5040"/>
            <w:vAlign w:val="top"/>
          </w:tcPr>
          <w:p>
            <w:r/>
            <w:r>
              <w:rPr>
                <w:rFonts w:ascii="Aptos" w:hAnsi="Aptos"/>
                <w:b w:val="0"/>
                <w:sz w:val="14"/>
              </w:rPr>
              <w:t>PV-PP can be harmed by stale favorable memory; fresh contradictory evidence remains visible and correction does not erase history.</w:t>
            </w:r>
          </w:p>
        </w:tc>
      </w:tr>
      <w:tr>
        <w:tc>
          <w:tcPr>
            <w:tcW w:type="dxa" w:w="5040"/>
            <w:vAlign w:val="top"/>
          </w:tcPr>
          <w:p>
            <w:r/>
            <w:r>
              <w:rPr>
                <w:rFonts w:ascii="Aptos" w:hAnsi="Aptos"/>
                <w:b w:val="0"/>
                <w:sz w:val="14"/>
              </w:rPr>
              <w:t>T5 S2 qualification</w:t>
            </w:r>
          </w:p>
        </w:tc>
        <w:tc>
          <w:tcPr>
            <w:tcW w:type="dxa" w:w="5040"/>
            <w:vAlign w:val="top"/>
          </w:tcPr>
          <w:p>
            <w:r/>
            <w:r>
              <w:rPr>
                <w:rFonts w:ascii="Aptos" w:hAnsi="Aptos"/>
                <w:b w:val="0"/>
                <w:sz w:val="14"/>
              </w:rPr>
              <w:t>Stage count, 20-board samples, engineering/test encumbrance, cash, R trigger, and conditional cap balance.</w:t>
            </w:r>
          </w:p>
        </w:tc>
      </w:tr>
      <w:tr>
        <w:tc>
          <w:tcPr>
            <w:tcW w:type="dxa" w:w="5040"/>
            <w:vAlign w:val="top"/>
          </w:tcPr>
          <w:p>
            <w:r/>
            <w:r>
              <w:rPr>
                <w:rFonts w:ascii="Aptos" w:hAnsi="Aptos"/>
                <w:b w:val="0"/>
                <w:sz w:val="14"/>
              </w:rPr>
              <w:t>T6 Shortcut rework</w:t>
            </w:r>
          </w:p>
        </w:tc>
        <w:tc>
          <w:tcPr>
            <w:tcW w:type="dxa" w:w="5040"/>
            <w:vAlign w:val="top"/>
          </w:tcPr>
          <w:p>
            <w:r/>
            <w:r>
              <w:rPr>
                <w:rFonts w:ascii="Aptos" w:hAnsi="Aptos"/>
                <w:b w:val="0"/>
                <w:sz w:val="14"/>
              </w:rPr>
              <w:t>Immediate board recovery, test burden, cost, delayed 2-4 week failures, major-event trigger, and downstream finance/customer effects balance.</w:t>
            </w:r>
          </w:p>
        </w:tc>
      </w:tr>
      <w:tr>
        <w:tc>
          <w:tcPr>
            <w:tcW w:type="dxa" w:w="5040"/>
            <w:vAlign w:val="top"/>
          </w:tcPr>
          <w:p>
            <w:r/>
            <w:r>
              <w:rPr>
                <w:rFonts w:ascii="Aptos" w:hAnsi="Aptos"/>
                <w:b w:val="0"/>
                <w:sz w:val="14"/>
              </w:rPr>
              <w:t>T7 No adequate</w:t>
            </w:r>
          </w:p>
        </w:tc>
        <w:tc>
          <w:tcPr>
            <w:tcW w:type="dxa" w:w="5040"/>
            <w:vAlign w:val="top"/>
          </w:tcPr>
          <w:p>
            <w:r/>
            <w:r>
              <w:rPr>
                <w:rFonts w:ascii="Aptos" w:hAnsi="Aptos"/>
                <w:b w:val="0"/>
                <w:sz w:val="14"/>
              </w:rPr>
              <w:t>Canonical Sigma fallback selects lawful behavior; B/C also act; evaluator recovery remains separate.</w:t>
            </w:r>
          </w:p>
        </w:tc>
      </w:tr>
      <w:tr>
        <w:tc>
          <w:tcPr>
            <w:tcW w:type="dxa" w:w="5040"/>
            <w:vAlign w:val="top"/>
          </w:tcPr>
          <w:p>
            <w:r/>
            <w:r>
              <w:rPr>
                <w:rFonts w:ascii="Aptos" w:hAnsi="Aptos"/>
                <w:b w:val="0"/>
                <w:sz w:val="14"/>
              </w:rPr>
              <w:t>T8 Opportunity closure</w:t>
            </w:r>
          </w:p>
        </w:tc>
        <w:tc>
          <w:tcPr>
            <w:tcW w:type="dxa" w:w="5040"/>
            <w:vAlign w:val="top"/>
          </w:tcPr>
          <w:p>
            <w:r/>
            <w:r>
              <w:rPr>
                <w:rFonts w:ascii="Aptos" w:hAnsi="Aptos"/>
                <w:b w:val="0"/>
                <w:sz w:val="14"/>
              </w:rPr>
              <w:t>Period-6 opportunity and end-period-7 deadline create the specified period-8 capacity encumbrance without retroactive knowledge.</w:t>
            </w:r>
          </w:p>
        </w:tc>
      </w:tr>
      <w:tr>
        <w:tc>
          <w:tcPr>
            <w:tcW w:type="dxa" w:w="5040"/>
            <w:vAlign w:val="top"/>
          </w:tcPr>
          <w:p>
            <w:r/>
            <w:r>
              <w:rPr>
                <w:rFonts w:ascii="Aptos" w:hAnsi="Aptos"/>
                <w:b w:val="0"/>
                <w:sz w:val="14"/>
              </w:rPr>
              <w:t>T9 Proposal rejection</w:t>
            </w:r>
          </w:p>
        </w:tc>
        <w:tc>
          <w:tcPr>
            <w:tcW w:type="dxa" w:w="5040"/>
            <w:vAlign w:val="top"/>
          </w:tcPr>
          <w:p>
            <w:r/>
            <w:r>
              <w:rPr>
                <w:rFonts w:ascii="Aptos" w:hAnsi="Aptos"/>
                <w:b w:val="0"/>
                <w:sz w:val="14"/>
              </w:rPr>
              <w:t>No assumed acceptance and no same-period negotiation loop; next-period revision/frozen fallback only.</w:t>
            </w:r>
          </w:p>
        </w:tc>
      </w:tr>
      <w:tr>
        <w:tc>
          <w:tcPr>
            <w:tcW w:type="dxa" w:w="5040"/>
            <w:vAlign w:val="top"/>
          </w:tcPr>
          <w:p>
            <w:r/>
            <w:r>
              <w:rPr>
                <w:rFonts w:ascii="Aptos" w:hAnsi="Aptos"/>
                <w:b w:val="0"/>
                <w:sz w:val="14"/>
              </w:rPr>
              <w:t>T10 Infeasible</w:t>
            </w:r>
          </w:p>
        </w:tc>
        <w:tc>
          <w:tcPr>
            <w:tcW w:type="dxa" w:w="5040"/>
            <w:vAlign w:val="top"/>
          </w:tcPr>
          <w:p>
            <w:r/>
            <w:r>
              <w:rPr>
                <w:rFonts w:ascii="Aptos" w:hAnsi="Aptos"/>
                <w:b w:val="0"/>
                <w:sz w:val="14"/>
              </w:rPr>
              <w:t>O1/O2 classification follows exhaustive/undetermined rule.</w:t>
            </w:r>
          </w:p>
        </w:tc>
      </w:tr>
      <w:tr>
        <w:tc>
          <w:tcPr>
            <w:tcW w:type="dxa" w:w="5040"/>
            <w:vAlign w:val="top"/>
          </w:tcPr>
          <w:p>
            <w:r/>
            <w:r>
              <w:rPr>
                <w:rFonts w:ascii="Aptos" w:hAnsi="Aptos"/>
                <w:b w:val="0"/>
                <w:sz w:val="14"/>
              </w:rPr>
              <w:t>T11 Scalar sensitivity</w:t>
            </w:r>
          </w:p>
        </w:tc>
        <w:tc>
          <w:tcPr>
            <w:tcW w:type="dxa" w:w="5040"/>
            <w:vAlign w:val="top"/>
          </w:tcPr>
          <w:p>
            <w:r/>
            <w:r>
              <w:rPr>
                <w:rFonts w:ascii="Aptos" w:hAnsi="Aptos"/>
                <w:b w:val="0"/>
                <w:sz w:val="14"/>
              </w:rPr>
              <w:t>At least one hand case yields rationally different B-panel actions from weight differences without changing evidence/action space.</w:t>
            </w:r>
          </w:p>
        </w:tc>
      </w:tr>
      <w:tr>
        <w:tc>
          <w:tcPr>
            <w:tcW w:type="dxa" w:w="5040"/>
            <w:vAlign w:val="top"/>
          </w:tcPr>
          <w:p>
            <w:r/>
            <w:r>
              <w:rPr>
                <w:rFonts w:ascii="Aptos" w:hAnsi="Aptos"/>
                <w:b w:val="0"/>
                <w:sz w:val="14"/>
              </w:rPr>
              <w:t>T12 Firewall</w:t>
            </w:r>
          </w:p>
        </w:tc>
        <w:tc>
          <w:tcPr>
            <w:tcW w:type="dxa" w:w="5040"/>
            <w:vAlign w:val="top"/>
          </w:tcPr>
          <w:p>
            <w:r/>
            <w:r>
              <w:rPr>
                <w:rFonts w:ascii="Aptos" w:hAnsi="Aptos"/>
                <w:b w:val="0"/>
                <w:sz w:val="14"/>
              </w:rPr>
              <w:t>Private observations/controller state never cross agent boundary without a world message/commitment.</w:t>
            </w:r>
          </w:p>
        </w:tc>
      </w:tr>
    </w:tbl>
    <w:p>
      <w:pPr>
        <w:spacing w:after="20"/>
      </w:pPr>
    </w:p>
    <w:p>
      <w:pPr>
        <w:pStyle w:val="Heading1"/>
      </w:pPr>
      <w:r>
        <w:t>24. Remaining Pre-Freeze Gates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Gate</w:t>
            </w:r>
          </w:p>
        </w:tc>
        <w:tc>
          <w:tcPr>
            <w:tcW w:type="dxa" w:w="5040"/>
            <w:vAlign w:val="top"/>
            <w:shd w:fill="D9E2F3"/>
          </w:tcPr>
          <w:p>
            <w:r/>
            <w:r>
              <w:rPr>
                <w:rFonts w:ascii="Aptos" w:hAnsi="Aptos"/>
                <w:b/>
                <w:sz w:val="15"/>
              </w:rPr>
              <w:t>Status after v0.8</w:t>
            </w:r>
          </w:p>
        </w:tc>
      </w:tr>
      <w:tr>
        <w:tc>
          <w:tcPr>
            <w:tcW w:type="dxa" w:w="5040"/>
            <w:vAlign w:val="top"/>
          </w:tcPr>
          <w:p>
            <w:r/>
            <w:r>
              <w:rPr>
                <w:rFonts w:ascii="Aptos" w:hAnsi="Aptos"/>
                <w:b w:val="0"/>
                <w:sz w:val="14"/>
              </w:rPr>
              <w:t>B1 Sigma architecture</w:t>
            </w:r>
          </w:p>
        </w:tc>
        <w:tc>
          <w:tcPr>
            <w:tcW w:type="dxa" w:w="5040"/>
            <w:vAlign w:val="top"/>
          </w:tcPr>
          <w:p>
            <w:r/>
            <w:r>
              <w:rPr>
                <w:rFonts w:ascii="Aptos" w:hAnsi="Aptos"/>
                <w:b w:val="0"/>
                <w:sz w:val="14"/>
              </w:rPr>
              <w:t>RESOLVED; benchmark override parameterization explicitly bounded.</w:t>
            </w:r>
          </w:p>
        </w:tc>
      </w:tr>
      <w:tr>
        <w:tc>
          <w:tcPr>
            <w:tcW w:type="dxa" w:w="5040"/>
            <w:vAlign w:val="top"/>
          </w:tcPr>
          <w:p>
            <w:r/>
            <w:r>
              <w:rPr>
                <w:rFonts w:ascii="Aptos" w:hAnsi="Aptos"/>
                <w:b w:val="0"/>
                <w:sz w:val="14"/>
              </w:rPr>
              <w:t>B2 PV-PP search/projection contract</w:t>
            </w:r>
          </w:p>
        </w:tc>
        <w:tc>
          <w:tcPr>
            <w:tcW w:type="dxa" w:w="5040"/>
            <w:vAlign w:val="top"/>
          </w:tcPr>
          <w:p>
            <w:r/>
            <w:r>
              <w:rPr>
                <w:rFonts w:ascii="Aptos" w:hAnsi="Aptos"/>
                <w:b w:val="0"/>
                <w:sz w:val="14"/>
              </w:rPr>
              <w:t>RESOLVED ON PAPER.</w:t>
            </w:r>
          </w:p>
        </w:tc>
      </w:tr>
      <w:tr>
        <w:tc>
          <w:tcPr>
            <w:tcW w:type="dxa" w:w="5040"/>
            <w:vAlign w:val="top"/>
          </w:tcPr>
          <w:p>
            <w:r/>
            <w:r>
              <w:rPr>
                <w:rFonts w:ascii="Aptos" w:hAnsi="Aptos"/>
                <w:b w:val="0"/>
                <w:sz w:val="14"/>
              </w:rPr>
              <w:t>B3 scalar estimator</w:t>
            </w:r>
          </w:p>
        </w:tc>
        <w:tc>
          <w:tcPr>
            <w:tcW w:type="dxa" w:w="5040"/>
            <w:vAlign w:val="top"/>
          </w:tcPr>
          <w:p>
            <w:r/>
            <w:r>
              <w:rPr>
                <w:rFonts w:ascii="Aptos" w:hAnsi="Aptos"/>
                <w:b w:val="0"/>
                <w:sz w:val="14"/>
              </w:rPr>
              <w:t>RESOLVED ON PAPER.</w:t>
            </w:r>
          </w:p>
        </w:tc>
      </w:tr>
      <w:tr>
        <w:tc>
          <w:tcPr>
            <w:tcW w:type="dxa" w:w="5040"/>
            <w:vAlign w:val="top"/>
          </w:tcPr>
          <w:p>
            <w:r/>
            <w:r>
              <w:rPr>
                <w:rFonts w:ascii="Aptos" w:hAnsi="Aptos"/>
                <w:b w:val="0"/>
                <w:sz w:val="14"/>
              </w:rPr>
              <w:t>B4 scalar role objectives</w:t>
            </w:r>
          </w:p>
        </w:tc>
        <w:tc>
          <w:tcPr>
            <w:tcW w:type="dxa" w:w="5040"/>
            <w:vAlign w:val="top"/>
          </w:tcPr>
          <w:p>
            <w:r/>
            <w:r>
              <w:rPr>
                <w:rFonts w:ascii="Aptos" w:hAnsi="Aptos"/>
                <w:b w:val="0"/>
                <w:sz w:val="14"/>
              </w:rPr>
              <w:t>RESOLVED ON PAPER; hand validation still required.</w:t>
            </w:r>
          </w:p>
        </w:tc>
      </w:tr>
      <w:tr>
        <w:tc>
          <w:tcPr>
            <w:tcW w:type="dxa" w:w="5040"/>
            <w:vAlign w:val="top"/>
          </w:tcPr>
          <w:p>
            <w:r/>
            <w:r>
              <w:rPr>
                <w:rFonts w:ascii="Aptos" w:hAnsi="Aptos"/>
                <w:b w:val="0"/>
                <w:sz w:val="14"/>
              </w:rPr>
              <w:t>B5 local role rules</w:t>
            </w:r>
          </w:p>
        </w:tc>
        <w:tc>
          <w:tcPr>
            <w:tcW w:type="dxa" w:w="5040"/>
            <w:vAlign w:val="top"/>
          </w:tcPr>
          <w:p>
            <w:r/>
            <w:r>
              <w:rPr>
                <w:rFonts w:ascii="Aptos" w:hAnsi="Aptos"/>
                <w:b w:val="0"/>
                <w:sz w:val="14"/>
              </w:rPr>
              <w:t>RESOLVED ON PAPER; hand validation still required.</w:t>
            </w:r>
          </w:p>
        </w:tc>
      </w:tr>
      <w:tr>
        <w:tc>
          <w:tcPr>
            <w:tcW w:type="dxa" w:w="5040"/>
            <w:vAlign w:val="top"/>
          </w:tcPr>
          <w:p>
            <w:r/>
            <w:r>
              <w:rPr>
                <w:rFonts w:ascii="Aptos" w:hAnsi="Aptos"/>
                <w:b w:val="0"/>
                <w:sz w:val="14"/>
              </w:rPr>
              <w:t>B6 computation budget</w:t>
            </w:r>
          </w:p>
        </w:tc>
        <w:tc>
          <w:tcPr>
            <w:tcW w:type="dxa" w:w="5040"/>
            <w:vAlign w:val="top"/>
          </w:tcPr>
          <w:p>
            <w:r/>
            <w:r>
              <w:rPr>
                <w:rFonts w:ascii="Aptos" w:hAnsi="Aptos"/>
                <w:b w:val="0"/>
                <w:sz w:val="14"/>
              </w:rPr>
              <w:t>PROCEDURE RESOLVED; numeric ceiling awaits blind calibration.</w:t>
            </w:r>
          </w:p>
        </w:tc>
      </w:tr>
      <w:tr>
        <w:tc>
          <w:tcPr>
            <w:tcW w:type="dxa" w:w="5040"/>
            <w:vAlign w:val="top"/>
          </w:tcPr>
          <w:p>
            <w:r/>
            <w:r>
              <w:rPr>
                <w:rFonts w:ascii="Aptos" w:hAnsi="Aptos"/>
                <w:b w:val="0"/>
                <w:sz w:val="14"/>
              </w:rPr>
              <w:t>B7 strategic signaling</w:t>
            </w:r>
          </w:p>
        </w:tc>
        <w:tc>
          <w:tcPr>
            <w:tcW w:type="dxa" w:w="5040"/>
            <w:vAlign w:val="top"/>
          </w:tcPr>
          <w:p>
            <w:r/>
            <w:r>
              <w:rPr>
                <w:rFonts w:ascii="Aptos" w:hAnsi="Aptos"/>
                <w:b w:val="0"/>
                <w:sz w:val="14"/>
              </w:rPr>
              <w:t>RESOLVED.</w:t>
            </w:r>
          </w:p>
        </w:tc>
      </w:tr>
      <w:tr>
        <w:tc>
          <w:tcPr>
            <w:tcW w:type="dxa" w:w="5040"/>
            <w:vAlign w:val="top"/>
          </w:tcPr>
          <w:p>
            <w:r/>
            <w:r>
              <w:rPr>
                <w:rFonts w:ascii="Aptos" w:hAnsi="Aptos"/>
                <w:b w:val="0"/>
                <w:sz w:val="14"/>
              </w:rPr>
              <w:t>B8 stochastic distributions/seeds</w:t>
            </w:r>
          </w:p>
        </w:tc>
        <w:tc>
          <w:tcPr>
            <w:tcW w:type="dxa" w:w="5040"/>
            <w:vAlign w:val="top"/>
          </w:tcPr>
          <w:p>
            <w:r/>
            <w:r>
              <w:rPr>
                <w:rFonts w:ascii="Aptos" w:hAnsi="Aptos"/>
                <w:b w:val="0"/>
                <w:sz w:val="14"/>
              </w:rPr>
              <w:t>DISTRIBUTIONS RESOLVED; master seed file and N await blind calibration.</w:t>
            </w:r>
          </w:p>
        </w:tc>
      </w:tr>
      <w:tr>
        <w:tc>
          <w:tcPr>
            <w:tcW w:type="dxa" w:w="5040"/>
            <w:vAlign w:val="top"/>
          </w:tcPr>
          <w:p>
            <w:r/>
            <w:r>
              <w:rPr>
                <w:rFonts w:ascii="Aptos" w:hAnsi="Aptos"/>
                <w:b w:val="0"/>
                <w:sz w:val="14"/>
              </w:rPr>
              <w:t>B9 inspection/qualification</w:t>
            </w:r>
          </w:p>
        </w:tc>
        <w:tc>
          <w:tcPr>
            <w:tcW w:type="dxa" w:w="5040"/>
            <w:vAlign w:val="top"/>
          </w:tcPr>
          <w:p>
            <w:r/>
            <w:r>
              <w:rPr>
                <w:rFonts w:ascii="Aptos" w:hAnsi="Aptos"/>
                <w:b w:val="0"/>
                <w:sz w:val="14"/>
              </w:rPr>
              <w:t>RESOLVED.</w:t>
            </w:r>
          </w:p>
        </w:tc>
      </w:tr>
      <w:tr>
        <w:tc>
          <w:tcPr>
            <w:tcW w:type="dxa" w:w="5040"/>
            <w:vAlign w:val="top"/>
          </w:tcPr>
          <w:p>
            <w:r/>
            <w:r>
              <w:rPr>
                <w:rFonts w:ascii="Aptos" w:hAnsi="Aptos"/>
                <w:b w:val="0"/>
                <w:sz w:val="14"/>
              </w:rPr>
              <w:t>B10 horizon/conditional grammar</w:t>
            </w:r>
          </w:p>
        </w:tc>
        <w:tc>
          <w:tcPr>
            <w:tcW w:type="dxa" w:w="5040"/>
            <w:vAlign w:val="top"/>
          </w:tcPr>
          <w:p>
            <w:r/>
            <w:r>
              <w:rPr>
                <w:rFonts w:ascii="Aptos" w:hAnsi="Aptos"/>
                <w:b w:val="0"/>
                <w:sz w:val="14"/>
              </w:rPr>
              <w:t>RESOLVED.</w:t>
            </w:r>
          </w:p>
        </w:tc>
      </w:tr>
      <w:tr>
        <w:tc>
          <w:tcPr>
            <w:tcW w:type="dxa" w:w="5040"/>
            <w:vAlign w:val="top"/>
          </w:tcPr>
          <w:p>
            <w:r/>
            <w:r>
              <w:rPr>
                <w:rFonts w:ascii="Aptos" w:hAnsi="Aptos"/>
                <w:b w:val="0"/>
                <w:sz w:val="14"/>
              </w:rPr>
              <w:t>B11 focal-M counterpart</w:t>
            </w:r>
          </w:p>
        </w:tc>
        <w:tc>
          <w:tcPr>
            <w:tcW w:type="dxa" w:w="5040"/>
            <w:vAlign w:val="top"/>
          </w:tcPr>
          <w:p>
            <w:r/>
            <w:r>
              <w:rPr>
                <w:rFonts w:ascii="Aptos" w:hAnsi="Aptos"/>
                <w:b w:val="0"/>
                <w:sz w:val="14"/>
              </w:rPr>
              <w:t>RESOLVED.</w:t>
            </w:r>
          </w:p>
        </w:tc>
      </w:tr>
      <w:tr>
        <w:tc>
          <w:tcPr>
            <w:tcW w:type="dxa" w:w="5040"/>
            <w:vAlign w:val="top"/>
          </w:tcPr>
          <w:p>
            <w:r/>
            <w:r>
              <w:rPr>
                <w:rFonts w:ascii="Aptos" w:hAnsi="Aptos"/>
                <w:b w:val="0"/>
                <w:sz w:val="14"/>
              </w:rPr>
              <w:t>B12 oracle</w:t>
            </w:r>
          </w:p>
        </w:tc>
        <w:tc>
          <w:tcPr>
            <w:tcW w:type="dxa" w:w="5040"/>
            <w:vAlign w:val="top"/>
          </w:tcPr>
          <w:p>
            <w:r/>
            <w:r>
              <w:rPr>
                <w:rFonts w:ascii="Aptos" w:hAnsi="Aptos"/>
                <w:b w:val="0"/>
                <w:sz w:val="14"/>
              </w:rPr>
              <w:t>RESOLVED ON PAPER; solver/exhaustiveness implementation must be validated.</w:t>
            </w:r>
          </w:p>
        </w:tc>
      </w:tr>
      <w:tr>
        <w:tc>
          <w:tcPr>
            <w:tcW w:type="dxa" w:w="5040"/>
            <w:vAlign w:val="top"/>
          </w:tcPr>
          <w:p>
            <w:r/>
            <w:r>
              <w:rPr>
                <w:rFonts w:ascii="Aptos" w:hAnsi="Aptos"/>
                <w:b w:val="0"/>
                <w:sz w:val="14"/>
              </w:rPr>
              <w:t>H1-H9</w:t>
            </w:r>
          </w:p>
        </w:tc>
        <w:tc>
          <w:tcPr>
            <w:tcW w:type="dxa" w:w="5040"/>
            <w:vAlign w:val="top"/>
          </w:tcPr>
          <w:p>
            <w:r/>
            <w:r>
              <w:rPr>
                <w:rFonts w:ascii="Aptos" w:hAnsi="Aptos"/>
                <w:b w:val="0"/>
                <w:sz w:val="14"/>
              </w:rPr>
              <w:t>RESOLVED ON PAPER.</w:t>
            </w:r>
          </w:p>
        </w:tc>
      </w:tr>
      <w:tr>
        <w:tc>
          <w:tcPr>
            <w:tcW w:type="dxa" w:w="5040"/>
            <w:vAlign w:val="top"/>
          </w:tcPr>
          <w:p>
            <w:r/>
            <w:r>
              <w:rPr>
                <w:rFonts w:ascii="Aptos" w:hAnsi="Aptos"/>
                <w:b w:val="0"/>
                <w:sz w:val="14"/>
              </w:rPr>
              <w:t>Manual traces</w:t>
            </w:r>
          </w:p>
        </w:tc>
        <w:tc>
          <w:tcPr>
            <w:tcW w:type="dxa" w:w="5040"/>
            <w:vAlign w:val="top"/>
          </w:tcPr>
          <w:p>
            <w:r/>
            <w:r>
              <w:rPr>
                <w:rFonts w:ascii="Aptos" w:hAnsi="Aptos"/>
                <w:b w:val="0"/>
                <w:sz w:val="14"/>
              </w:rPr>
              <w:t>OPEN - execute T1-T12.</w:t>
            </w:r>
          </w:p>
        </w:tc>
      </w:tr>
      <w:tr>
        <w:tc>
          <w:tcPr>
            <w:tcW w:type="dxa" w:w="5040"/>
            <w:vAlign w:val="top"/>
          </w:tcPr>
          <w:p>
            <w:r/>
            <w:r>
              <w:rPr>
                <w:rFonts w:ascii="Aptos" w:hAnsi="Aptos"/>
                <w:b w:val="0"/>
                <w:sz w:val="14"/>
              </w:rPr>
              <w:t>Closure audit</w:t>
            </w:r>
          </w:p>
        </w:tc>
        <w:tc>
          <w:tcPr>
            <w:tcW w:type="dxa" w:w="5040"/>
            <w:vAlign w:val="top"/>
          </w:tcPr>
          <w:p>
            <w:r/>
            <w:r>
              <w:rPr>
                <w:rFonts w:ascii="Aptos" w:hAnsi="Aptos"/>
                <w:b w:val="0"/>
                <w:sz w:val="14"/>
              </w:rPr>
              <w:t>OPEN - rerun v0.7 audit after traces/calibration.</w:t>
            </w:r>
          </w:p>
        </w:tc>
      </w:tr>
      <w:tr>
        <w:tc>
          <w:tcPr>
            <w:tcW w:type="dxa" w:w="5040"/>
            <w:vAlign w:val="top"/>
          </w:tcPr>
          <w:p>
            <w:r/>
            <w:r>
              <w:rPr>
                <w:rFonts w:ascii="Aptos" w:hAnsi="Aptos"/>
                <w:b w:val="0"/>
                <w:sz w:val="14"/>
              </w:rPr>
              <w:t>Pre-Freeze Manifest</w:t>
            </w:r>
          </w:p>
        </w:tc>
        <w:tc>
          <w:tcPr>
            <w:tcW w:type="dxa" w:w="5040"/>
            <w:vAlign w:val="top"/>
          </w:tcPr>
          <w:p>
            <w:r/>
            <w:r>
              <w:rPr>
                <w:rFonts w:ascii="Aptos" w:hAnsi="Aptos"/>
                <w:b w:val="0"/>
                <w:sz w:val="14"/>
              </w:rPr>
              <w:t>NOT YET AUTHORIZED.</w:t>
            </w:r>
          </w:p>
        </w:tc>
      </w:tr>
    </w:tbl>
    <w:p>
      <w:pPr>
        <w:spacing w:after="20"/>
      </w:pPr>
    </w:p>
    <w:p>
      <w:pPr>
        <w:pStyle w:val="Heading1"/>
      </w:pPr>
      <w:r>
        <w:t>25. Required Narrow Parent Patches</w:t>
      </w:r>
    </w:p>
    <w:p>
      <w:r>
        <w:t>Rather than rewrite the six-document series, the following narrow patches should be incorporated or appended when the package is frozen: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Parent</w:t>
            </w:r>
          </w:p>
        </w:tc>
        <w:tc>
          <w:tcPr>
            <w:tcW w:type="dxa" w:w="5040"/>
            <w:vAlign w:val="top"/>
            <w:shd w:fill="D9E2F3"/>
          </w:tcPr>
          <w:p>
            <w:r/>
            <w:r>
              <w:rPr>
                <w:rFonts w:ascii="Aptos" w:hAnsi="Aptos"/>
                <w:b/>
                <w:sz w:val="15"/>
              </w:rPr>
              <w:t>Patch content</w:t>
            </w:r>
          </w:p>
        </w:tc>
      </w:tr>
      <w:tr>
        <w:tc>
          <w:tcPr>
            <w:tcW w:type="dxa" w:w="5040"/>
            <w:vAlign w:val="top"/>
          </w:tcPr>
          <w:p>
            <w:r/>
            <w:r>
              <w:rPr>
                <w:rFonts w:ascii="Aptos" w:hAnsi="Aptos"/>
                <w:b w:val="0"/>
                <w:sz w:val="14"/>
              </w:rPr>
              <w:t>v0.2 World/State</w:t>
            </w:r>
          </w:p>
        </w:tc>
        <w:tc>
          <w:tcPr>
            <w:tcW w:type="dxa" w:w="5040"/>
            <w:vAlign w:val="top"/>
          </w:tcPr>
          <w:p>
            <w:r/>
            <w:r>
              <w:rPr>
                <w:rFonts w:ascii="Aptos" w:hAnsi="Aptos"/>
                <w:b w:val="0"/>
                <w:sz w:val="14"/>
              </w:rPr>
              <w:t>Emergency R trigger/public knowledge; S2 opportunity timing; post-C termination boundary; domain-local PP-index authority note.</w:t>
            </w:r>
          </w:p>
        </w:tc>
      </w:tr>
      <w:tr>
        <w:tc>
          <w:tcPr>
            <w:tcW w:type="dxa" w:w="5040"/>
            <w:vAlign w:val="top"/>
          </w:tcPr>
          <w:p>
            <w:r/>
            <w:r>
              <w:rPr>
                <w:rFonts w:ascii="Aptos" w:hAnsi="Aptos"/>
                <w:b w:val="0"/>
                <w:sz w:val="14"/>
              </w:rPr>
              <w:t>v0.3 Information/Memory/Observation</w:t>
            </w:r>
          </w:p>
        </w:tc>
        <w:tc>
          <w:tcPr>
            <w:tcW w:type="dxa" w:w="5040"/>
            <w:vAlign w:val="top"/>
          </w:tcPr>
          <w:p>
            <w:r/>
            <w:r>
              <w:rPr>
                <w:rFonts w:ascii="Aptos" w:hAnsi="Aptos"/>
                <w:b w:val="0"/>
                <w:sz w:val="14"/>
              </w:rPr>
              <w:t>S1/S2 message probabilities; inspection error model; explicit raw-history parity before controller adaptation.</w:t>
            </w:r>
          </w:p>
        </w:tc>
      </w:tr>
      <w:tr>
        <w:tc>
          <w:tcPr>
            <w:tcW w:type="dxa" w:w="5040"/>
            <w:vAlign w:val="top"/>
          </w:tcPr>
          <w:p>
            <w:r/>
            <w:r>
              <w:rPr>
                <w:rFonts w:ascii="Aptos" w:hAnsi="Aptos"/>
                <w:b w:val="0"/>
                <w:sz w:val="14"/>
              </w:rPr>
              <w:t>v0.4 Actions/Events</w:t>
            </w:r>
          </w:p>
        </w:tc>
        <w:tc>
          <w:tcPr>
            <w:tcW w:type="dxa" w:w="5040"/>
            <w:vAlign w:val="top"/>
          </w:tcPr>
          <w:p>
            <w:r/>
            <w:r>
              <w:rPr>
                <w:rFonts w:ascii="Aptos" w:hAnsi="Aptos"/>
                <w:b w:val="0"/>
                <w:sz w:val="14"/>
              </w:rPr>
              <w:t>Proposal-slot/counteroffer rule; S2 qualification sample/failure rule; stochastic distribution table.</w:t>
            </w:r>
          </w:p>
        </w:tc>
      </w:tr>
      <w:tr>
        <w:tc>
          <w:tcPr>
            <w:tcW w:type="dxa" w:w="5040"/>
            <w:vAlign w:val="top"/>
          </w:tcPr>
          <w:p>
            <w:r/>
            <w:r>
              <w:rPr>
                <w:rFonts w:ascii="Aptos" w:hAnsi="Aptos"/>
                <w:b w:val="0"/>
                <w:sz w:val="14"/>
              </w:rPr>
              <w:t>v0.5 Controllers</w:t>
            </w:r>
          </w:p>
        </w:tc>
        <w:tc>
          <w:tcPr>
            <w:tcW w:type="dxa" w:w="5040"/>
            <w:vAlign w:val="top"/>
          </w:tcPr>
          <w:p>
            <w:r/>
            <w:r>
              <w:rPr>
                <w:rFonts w:ascii="Aptos" w:hAnsi="Aptos"/>
                <w:b w:val="0"/>
                <w:sz w:val="14"/>
              </w:rPr>
              <w:t>Sigma authority resolution; PV-PP search contract; scalar estimator/objectives; local role rules; common horizon; focal-M policy; budget calibration procedure.</w:t>
            </w:r>
          </w:p>
        </w:tc>
      </w:tr>
      <w:tr>
        <w:tc>
          <w:tcPr>
            <w:tcW w:type="dxa" w:w="5040"/>
            <w:vAlign w:val="top"/>
          </w:tcPr>
          <w:p>
            <w:r/>
            <w:r>
              <w:rPr>
                <w:rFonts w:ascii="Aptos" w:hAnsi="Aptos"/>
                <w:b w:val="0"/>
                <w:sz w:val="14"/>
              </w:rPr>
              <w:t>v0.6 Outcomes/Ledger</w:t>
            </w:r>
          </w:p>
        </w:tc>
        <w:tc>
          <w:tcPr>
            <w:tcW w:type="dxa" w:w="5040"/>
            <w:vAlign w:val="top"/>
          </w:tcPr>
          <w:p>
            <w:r/>
            <w:r>
              <w:rPr>
                <w:rFonts w:ascii="Aptos" w:hAnsi="Aptos"/>
                <w:b w:val="0"/>
                <w:sz w:val="14"/>
              </w:rPr>
              <w:t>Oracle protocol; adaptation-cost boundary; degraded stabilization/cascade edge rules; statistical/blinding plan; ensemble-size selection rule.</w:t>
            </w:r>
          </w:p>
        </w:tc>
      </w:tr>
    </w:tbl>
    <w:p>
      <w:pPr>
        <w:spacing w:after="20"/>
      </w:pPr>
    </w:p>
    <w:p>
      <w:pPr>
        <w:pStyle w:val="Heading1"/>
      </w:pPr>
      <w:r>
        <w:t>26. Authority Hygiene Note</w:t>
      </w:r>
    </w:p>
    <w:p>
      <w:r>
        <w:t>The canonical operator stack remains unchanged. Memory remains an interface/substrate influence rather than a hidden new operator. Sigma remains selection-only. epsilon remains realization-side bounded execution. The contaminated-substrate status vocabulary remains an implementation-governance protocol, not a new ontology. Benchmark probability distributions, weights, thresholds, action slots, sample sizes, horizons, and computation limits are experimental fixtures.</w:t>
      </w:r>
    </w:p>
    <w:p>
      <w:r>
        <w:t>The benchmark must therefore never be cited as authority for a universal four-week PV-PP horizon, one-period Sigma override margin, 12-record memory retrieval limit, any scalar weight, any Asterion PP threshold, or any stochastic probability.</w:t>
      </w:r>
    </w:p>
    <w:p>
      <w:pPr>
        <w:pStyle w:val="Heading1"/>
      </w:pPr>
      <w:r>
        <w:t>27. No-Reopen Rule</w:t>
      </w:r>
    </w:p>
    <w:p>
      <w:pPr>
        <w:pStyle w:val="ListBullet"/>
        <w:spacing w:after="20"/>
      </w:pPr>
      <w:r>
        <w:t>Do not add new suppliers, customers, markets, financing instruments, or institutions before freeze unless a manual trace proves the current world internally impossible to execute.</w:t>
      </w:r>
    </w:p>
    <w:p>
      <w:pPr>
        <w:pStyle w:val="ListBullet"/>
        <w:spacing w:after="20"/>
      </w:pPr>
      <w:r>
        <w:t>Do not change the Asterion economic story to make controller differences larger.</w:t>
      </w:r>
    </w:p>
    <w:p>
      <w:pPr>
        <w:pStyle w:val="ListBullet"/>
        <w:spacing w:after="20"/>
      </w:pPr>
      <w:r>
        <w:t>Do not add PV-PP operators or hidden repair stages.</w:t>
      </w:r>
    </w:p>
    <w:p>
      <w:pPr>
        <w:pStyle w:val="ListBullet"/>
        <w:spacing w:after="20"/>
      </w:pPr>
      <w:r>
        <w:t>Do not simplify B after observing that it performs well or strengthen it after observing that it performs poorly.</w:t>
      </w:r>
    </w:p>
    <w:p>
      <w:pPr>
        <w:pStyle w:val="ListBullet"/>
        <w:spacing w:after="20"/>
      </w:pPr>
      <w:r>
        <w:t>Do not tune C to be intentionally naive.</w:t>
      </w:r>
    </w:p>
    <w:p>
      <w:pPr>
        <w:pStyle w:val="ListBullet"/>
        <w:spacing w:after="20"/>
      </w:pPr>
      <w:r>
        <w:t>Do not change stochastic severity or message probabilities after primary results.</w:t>
      </w:r>
    </w:p>
    <w:p>
      <w:pPr>
        <w:pStyle w:val="ListBullet"/>
        <w:spacing w:after="20"/>
      </w:pPr>
      <w:r>
        <w:t>Do not convert mixed outcome tradeoffs into a post hoc universal score.</w:t>
      </w:r>
    </w:p>
    <w:p>
      <w:pPr>
        <w:pStyle w:val="ListBullet"/>
        <w:spacing w:after="20"/>
      </w:pPr>
      <w:r>
        <w:t>Do not delete unfavorable, neutral, invalidated, or superseded runs.</w:t>
      </w:r>
    </w:p>
    <w:p>
      <w:pPr>
        <w:pStyle w:val="Heading1"/>
      </w:pPr>
      <w:r>
        <w:t>28. Next Required Work</w:t>
      </w:r>
    </w:p>
    <w:p>
      <w:pPr>
        <w:spacing w:after="20"/>
        <w:ind w:left="317" w:hanging="259"/>
      </w:pPr>
      <w:r>
        <w:rPr>
          <w:b/>
        </w:rPr>
        <w:t xml:space="preserve">1. </w:t>
      </w:r>
      <w:r>
        <w:t>Execute the controller-blind computation-budget calibration and create the master seed list/ensemble-size record.</w:t>
      </w:r>
    </w:p>
    <w:p>
      <w:pPr>
        <w:spacing w:after="20"/>
        <w:ind w:left="317" w:hanging="259"/>
      </w:pPr>
      <w:r>
        <w:rPr>
          <w:b/>
        </w:rPr>
        <w:t xml:space="preserve">2. </w:t>
      </w:r>
      <w:r>
        <w:t>Execute T1-T12 as paper/manual traces using v0.1-v0.6 plus this addendum; patch only genuine contradictions or arithmetic impossibilities.</w:t>
      </w:r>
    </w:p>
    <w:p>
      <w:pPr>
        <w:spacing w:after="20"/>
        <w:ind w:left="317" w:hanging="259"/>
      </w:pPr>
      <w:r>
        <w:rPr>
          <w:b/>
        </w:rPr>
        <w:t xml:space="preserve">3. </w:t>
      </w:r>
      <w:r>
        <w:t>Run a v0.9 Closure Audit against every B/H/C finding and every trace/calibration result.</w:t>
      </w:r>
    </w:p>
    <w:p>
      <w:pPr>
        <w:spacing w:after="20"/>
        <w:ind w:left="317" w:hanging="259"/>
      </w:pPr>
      <w:r>
        <w:rPr>
          <w:b/>
        </w:rPr>
        <w:t xml:space="preserve">4. </w:t>
      </w:r>
      <w:r>
        <w:t>If and only if the closure audit returns READY, create the Pre-Freeze Manifest with hashes, frozen parameters, seed list, controller configs, authority note, and known limitations.</w:t>
      </w:r>
    </w:p>
    <w:p>
      <w:pPr>
        <w:spacing w:after="20"/>
        <w:ind w:left="317" w:hanging="259"/>
      </w:pPr>
      <w:r>
        <w:rPr>
          <w:b/>
        </w:rPr>
        <w:t xml:space="preserve">5. </w:t>
      </w:r>
      <w:r>
        <w:t>Only the manifest may authorize implementation of the comparative benchmark.</w:t>
      </w:r>
    </w:p>
    <w:p>
      <w:pPr>
        <w:pStyle w:val="Heading1"/>
      </w:pPr>
      <w:r>
        <w:t>29. Resolution Judgment</w:t>
      </w:r>
    </w:p>
    <w:p>
      <w:r>
        <w:t>The audit backlog is now mostly converted from discretionary implementation choices into explicit experimental rules. The benchmark still should not be coded for comparative execution because the rules have not yet survived the required manual traces and controller-blind calibration. That remaining work is verification, not an invitation to expand the theory or the Asterion world.</w:t>
      </w:r>
    </w:p>
    <w:p>
      <w:r>
        <w:t>Disposition after v0.8: RESOLUTION PACKAGE COMPLETE ON PAPER; PRE-FREEZE MANIFEST STILL WITHHELD pending calibration, T1-T12, and closure audit.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PVPP Benchmark Pre-Freeze Resolution Addendum v0.8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