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PB-005</w:t>
      </w:r>
    </w:p>
    <w:p>
      <w:pPr>
        <w:jc w:val="center"/>
      </w:pPr>
      <w:r>
        <w:rPr>
          <w:i/>
        </w:rPr>
        <w:t>AI Safety Gridworlds — Distributional Shift</w:t>
        <w:br/>
        <w:t>Charter and Environment Record v0.1</w:t>
      </w:r>
    </w:p>
    <w:p>
      <w:pPr>
        <w:pStyle w:val="Heading1"/>
      </w:pPr>
      <w:r>
        <w:t>1. Benchmark purpose</w:t>
      </w:r>
    </w:p>
    <w:p>
      <w:r>
        <w:t>PB-005 tests whether a controller can preserve task performance when an environmental feature that was reliable during training becomes unreliable at evaluation time. The public AI Safety Gridworlds Distributional Shift environment was designed to expose failures caused by overgeneralizing a training-time regularity.</w:t>
      </w:r>
    </w:p>
    <w:p>
      <w:pPr>
        <w:pStyle w:val="Heading1"/>
      </w:pPr>
      <w:r>
        <w:t>2. Public benchmark structure</w:t>
      </w:r>
    </w:p>
    <w:p>
      <w:pPr>
        <w:pStyle w:val="ListBullet"/>
      </w:pPr>
      <w:r>
        <w:t>The task is to reach a goal in a gridworld containing a lava region.</w:t>
      </w:r>
    </w:p>
    <w:p>
      <w:pPr>
        <w:pStyle w:val="ListBullet"/>
      </w:pPr>
      <w:r>
        <w:t>During training, a distinctive tile/region provides a reliable cue about where the safe route lies.</w:t>
      </w:r>
    </w:p>
    <w:p>
      <w:pPr>
        <w:pStyle w:val="ListBullet"/>
      </w:pPr>
      <w:r>
        <w:t>During evaluation, the relationship between that cue and the underlying hazard changes.</w:t>
      </w:r>
    </w:p>
    <w:p>
      <w:pPr>
        <w:pStyle w:val="ListBullet"/>
      </w:pPr>
      <w:r>
        <w:t>The benchmark therefore separates the observed cue from the actual environmental condition that matters for successful action.</w:t>
      </w:r>
    </w:p>
    <w:p>
      <w:pPr>
        <w:pStyle w:val="ListBullet"/>
      </w:pPr>
      <w:r>
        <w:t>The hidden performance measure evaluates whether behavior remains appropriate under the shifted environment rather than merely reproducing the training association.</w:t>
      </w:r>
    </w:p>
    <w:p>
      <w:pPr>
        <w:pStyle w:val="Heading1"/>
      </w:pPr>
      <w:r>
        <w:t>3. Why PB-005 is relevant to PV-PP</w:t>
      </w:r>
    </w:p>
    <w:p>
      <w:r>
        <w:t>PB-005 directly exercises the framework's separation of observation, interpreted/perceived state, expectation state, memory, confidence, actual state, and realized outcome. A previously reliable cue may support a strong expectation without becoming identical to the actual state of the world. When the cue-to-outcome relationship changes, prediction error should be capable of updating the relevant expectation or source reliability without rewriting actual state or globally distrusting unrelated information.</w:t>
      </w:r>
    </w:p>
    <w:p>
      <w:pPr>
        <w:pStyle w:val="Heading1"/>
      </w:pPr>
      <w:r>
        <w:t>4. Initial PV-PP mapping</w:t>
      </w:r>
    </w:p>
    <w:tbl>
      <w:tblPr>
        <w:tblStyle w:val="TableGrid"/>
        <w:tblW w:type="auto" w:w="0"/>
        <w:tblLook w:firstColumn="1" w:firstRow="1" w:lastColumn="0" w:lastRow="0" w:noHBand="0" w:noVBand="1" w:val="04A0"/>
      </w:tblPr>
      <w:tblGrid>
        <w:gridCol w:w="3312"/>
        <w:gridCol w:w="3312"/>
        <w:gridCol w:w="3312"/>
      </w:tblGrid>
      <w:tr>
        <w:tc>
          <w:tcPr>
            <w:tcW w:type="dxa" w:w="3312"/>
          </w:tcPr>
          <w:p>
            <w:r>
              <w:t>Benchmark object</w:t>
            </w:r>
          </w:p>
        </w:tc>
        <w:tc>
          <w:tcPr>
            <w:tcW w:type="dxa" w:w="3312"/>
          </w:tcPr>
          <w:p>
            <w:r>
              <w:t>PV-PP role</w:t>
            </w:r>
          </w:p>
        </w:tc>
        <w:tc>
          <w:tcPr>
            <w:tcW w:type="dxa" w:w="3312"/>
          </w:tcPr>
          <w:p>
            <w:r>
              <w:t>Boundary</w:t>
            </w:r>
          </w:p>
        </w:tc>
      </w:tr>
      <w:tr>
        <w:tc>
          <w:tcPr>
            <w:tcW w:type="dxa" w:w="3312"/>
          </w:tcPr>
          <w:p>
            <w:r>
              <w:t>Underlying safe/hazard state</w:t>
            </w:r>
          </w:p>
        </w:tc>
        <w:tc>
          <w:tcPr>
            <w:tcW w:type="dxa" w:w="3312"/>
          </w:tcPr>
          <w:p>
            <w:r>
              <w:t>Actual environment/context</w:t>
            </w:r>
          </w:p>
        </w:tc>
        <w:tc>
          <w:tcPr>
            <w:tcW w:type="dxa" w:w="3312"/>
          </w:tcPr>
          <w:p>
            <w:r>
              <w:t>Exists independently of the controller's expectation.</w:t>
            </w:r>
          </w:p>
        </w:tc>
      </w:tr>
      <w:tr>
        <w:tc>
          <w:tcPr>
            <w:tcW w:type="dxa" w:w="3312"/>
          </w:tcPr>
          <w:p>
            <w:r>
              <w:t>Training-time cue</w:t>
            </w:r>
          </w:p>
        </w:tc>
        <w:tc>
          <w:tcPr>
            <w:tcW w:type="dxa" w:w="3312"/>
          </w:tcPr>
          <w:p>
            <w:r>
              <w:t>Observed informational signal</w:t>
            </w:r>
          </w:p>
        </w:tc>
        <w:tc>
          <w:tcPr>
            <w:tcW w:type="dxa" w:w="3312"/>
          </w:tcPr>
          <w:p>
            <w:r>
              <w:t>Evidence about state, not state itself.</w:t>
            </w:r>
          </w:p>
        </w:tc>
      </w:tr>
      <w:tr>
        <w:tc>
          <w:tcPr>
            <w:tcW w:type="dxa" w:w="3312"/>
          </w:tcPr>
          <w:p>
            <w:r>
              <w:t>Learned cue association</w:t>
            </w:r>
          </w:p>
        </w:tc>
        <w:tc>
          <w:tcPr>
            <w:tcW w:type="dxa" w:w="3312"/>
          </w:tcPr>
          <w:p>
            <w:r>
              <w:t>Expectation state K_i(t) / memory-supported prediction</w:t>
            </w:r>
          </w:p>
        </w:tc>
        <w:tc>
          <w:tcPr>
            <w:tcW w:type="dxa" w:w="3312"/>
          </w:tcPr>
          <w:p>
            <w:r>
              <w:t>May be strong without being guaranteed true.</w:t>
            </w:r>
          </w:p>
        </w:tc>
      </w:tr>
      <w:tr>
        <w:tc>
          <w:tcPr>
            <w:tcW w:type="dxa" w:w="3312"/>
          </w:tcPr>
          <w:p>
            <w:r>
              <w:t>Cue reliability</w:t>
            </w:r>
          </w:p>
        </w:tc>
        <w:tc>
          <w:tcPr>
            <w:tcW w:type="dxa" w:w="3312"/>
          </w:tcPr>
          <w:p>
            <w:r>
              <w:t>Object/source-local confidence or calibration</w:t>
            </w:r>
          </w:p>
        </w:tc>
        <w:tc>
          <w:tcPr>
            <w:tcW w:type="dxa" w:w="3312"/>
          </w:tcPr>
          <w:p>
            <w:r>
              <w:t>Confidence is not truth.</w:t>
            </w:r>
          </w:p>
        </w:tc>
      </w:tr>
      <w:tr>
        <w:tc>
          <w:tcPr>
            <w:tcW w:type="dxa" w:w="3312"/>
          </w:tcPr>
          <w:p>
            <w:r>
              <w:t>Evaluation shift</w:t>
            </w:r>
          </w:p>
        </w:tc>
        <w:tc>
          <w:tcPr>
            <w:tcW w:type="dxa" w:w="3312"/>
          </w:tcPr>
          <w:p>
            <w:r>
              <w:t>Change in cue-to-outcome relation</w:t>
            </w:r>
          </w:p>
        </w:tc>
        <w:tc>
          <w:tcPr>
            <w:tcW w:type="dxa" w:w="3312"/>
          </w:tcPr>
          <w:p>
            <w:r>
              <w:t>Creates potential typed prediction error.</w:t>
            </w:r>
          </w:p>
        </w:tc>
      </w:tr>
      <w:tr>
        <w:tc>
          <w:tcPr>
            <w:tcW w:type="dxa" w:w="3312"/>
          </w:tcPr>
          <w:p>
            <w:r>
              <w:t>Observed mismatch</w:t>
            </w:r>
          </w:p>
        </w:tc>
        <w:tc>
          <w:tcPr>
            <w:tcW w:type="dxa" w:w="3312"/>
          </w:tcPr>
          <w:p>
            <w:r>
              <w:t>Prediction-error evidence</w:t>
            </w:r>
          </w:p>
        </w:tc>
        <w:tc>
          <w:tcPr>
            <w:tcW w:type="dxa" w:w="3312"/>
          </w:tcPr>
          <w:p>
            <w:r>
              <w:t>Must update the appropriate expectation/source rather than fabricate actual state.</w:t>
            </w:r>
          </w:p>
        </w:tc>
      </w:tr>
      <w:tr>
        <w:tc>
          <w:tcPr>
            <w:tcW w:type="dxa" w:w="3312"/>
          </w:tcPr>
          <w:p>
            <w:r>
              <w:t>Policy choice</w:t>
            </w:r>
          </w:p>
        </w:tc>
        <w:tc>
          <w:tcPr>
            <w:tcW w:type="dxa" w:w="3312"/>
          </w:tcPr>
          <w:p>
            <w:r>
              <w:t>Π/Σ downstream decision object</w:t>
            </w:r>
          </w:p>
        </w:tc>
        <w:tc>
          <w:tcPr>
            <w:tcW w:type="dxa" w:w="3312"/>
          </w:tcPr>
          <w:p>
            <w:r>
              <w:t>Should use the current perceived/expected state subject to existing operator boundaries.</w:t>
            </w:r>
          </w:p>
        </w:tc>
      </w:tr>
      <w:tr>
        <w:tc>
          <w:tcPr>
            <w:tcW w:type="dxa" w:w="3312"/>
          </w:tcPr>
          <w:p>
            <w:r>
              <w:t>Realized outcome</w:t>
            </w:r>
          </w:p>
        </w:tc>
        <w:tc>
          <w:tcPr>
            <w:tcW w:type="dxa" w:w="3312"/>
          </w:tcPr>
          <w:p>
            <w:r>
              <w:t>Layer-1 transition / evidence</w:t>
            </w:r>
          </w:p>
        </w:tc>
        <w:tc>
          <w:tcPr>
            <w:tcW w:type="dxa" w:w="3312"/>
          </w:tcPr>
          <w:p>
            <w:r>
              <w:t>Provides feedback for subsequent memory and expectation update.</w:t>
            </w:r>
          </w:p>
        </w:tc>
      </w:tr>
    </w:tbl>
    <w:p>
      <w:pPr>
        <w:pStyle w:val="Heading1"/>
      </w:pPr>
      <w:r>
        <w:t>5. Core hypothesis</w:t>
      </w:r>
    </w:p>
    <w:p>
      <w:r>
        <w:t>The PV-PP architecture should not encode 'a familiar cue is always correct.' It should be able to carry a learned expectation, act on it when warranted, observe a mismatch after distribution shift, localize that mismatch as a prediction/calibration problem, and revise the expectation used for subsequent decisions. The benchmark therefore tests adaptation rather than clairvoyance: the controller is not expected to know the shift before receiving evidence of it.</w:t>
      </w:r>
    </w:p>
    <w:p>
      <w:pPr>
        <w:pStyle w:val="Heading1"/>
      </w:pPr>
      <w:r>
        <w:t>6. Anti-contamination rules</w:t>
      </w:r>
    </w:p>
    <w:p>
      <w:pPr>
        <w:pStyle w:val="ListBullet"/>
      </w:pPr>
      <w:r>
        <w:t>Do not give the controller the hidden evaluation label or hidden performance function.</w:t>
      </w:r>
    </w:p>
    <w:p>
      <w:pPr>
        <w:pStyle w:val="ListBullet"/>
      </w:pPr>
      <w:r>
        <w:t>Do not tell the controller in advance which evaluation cue is misleading.</w:t>
      </w:r>
    </w:p>
    <w:p>
      <w:pPr>
        <w:pStyle w:val="ListBullet"/>
      </w:pPr>
      <w:r>
        <w:t>Do not hard-code a special 'distribution shift' detector whose answer contains the benchmark solution.</w:t>
      </w:r>
    </w:p>
    <w:p>
      <w:pPr>
        <w:pStyle w:val="ListBullet"/>
      </w:pPr>
      <w:r>
        <w:t>Do not convert confidence into truth or overwrite actual state with expectation.</w:t>
      </w:r>
    </w:p>
    <w:p>
      <w:pPr>
        <w:pStyle w:val="ListBullet"/>
      </w:pPr>
      <w:r>
        <w:t>Do not globally distrust all signals after one localized prediction error.</w:t>
      </w:r>
    </w:p>
    <w:p>
      <w:pPr>
        <w:pStyle w:val="ListBullet"/>
      </w:pPr>
      <w:r>
        <w:t>Do not modify the canonical architecture after observing the benchmark result.</w:t>
      </w:r>
    </w:p>
    <w:p>
      <w:pPr>
        <w:pStyle w:val="Heading1"/>
      </w:pPr>
      <w:r>
        <w:t>7. Planned conditions</w:t>
      </w:r>
    </w:p>
    <w:p>
      <w:r>
        <w:t>PB-005A will establish the training condition and verify that the controller can acquire/use the reliable cue association. PB-005B will freeze an evaluation condition in which the learned association is no longer reliable and test whether the existing prediction-error, confidence, memory, and expectation interfaces can adapt after evidence of mismatch. If the public environment permits a clean additional control, a non-adaptive frozen-expectation comparator may be retained to demonstrate the effect of failing to update.</w:t>
      </w:r>
    </w:p>
    <w:p>
      <w:pPr>
        <w:pStyle w:val="Heading1"/>
      </w:pPr>
      <w:r>
        <w:t>8. Claim boundary</w:t>
      </w:r>
    </w:p>
    <w:p>
      <w:r>
        <w:t>A successful result would not establish general out-of-distribution robustness. It would show that the existing PV-PP information architecture can represent and correct a particular learned expectation when an independently designed benchmark changes the relationship between a familiar signal and the actual environment.</w:t>
      </w:r>
    </w:p>
    <w:p>
      <w:pPr>
        <w:pStyle w:val="Heading1"/>
      </w:pPr>
      <w:r>
        <w:t>9. Pre-execution status</w:t>
      </w:r>
    </w:p>
    <w:p>
      <w:r>
        <w:t>Status: CHARTERED, NOT YET EXECUTED. The exact public level, training/evaluation information boundary, update trigger, and acceptance criteria must be frozen before execution.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