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When Is One Number Enough?</w:t>
      </w:r>
    </w:p>
    <w:p>
      <w:pPr>
        <w:jc w:val="center"/>
      </w:pPr>
      <w:r>
        <w:rPr>
          <w:i/>
          <w:sz w:val="26"/>
        </w:rPr>
        <w:t>Testing the Productive Value-Productive Power Framework Against the Complete MO-Gymnasium Multi-Objective Benchmark Suite</w:t>
      </w:r>
    </w:p>
    <w:p>
      <w:pPr>
        <w:jc w:val="center"/>
      </w:pPr>
      <w:r>
        <w:rPr>
          <w:b/>
        </w:rPr>
        <w:t>White Paper | Version 1.0 | August 2026</w:t>
      </w:r>
    </w:p>
    <w:p>
      <w:pPr>
        <w:jc w:val="center"/>
      </w:pPr>
      <w:r>
        <w:t>Lance Amundsen, Independent Researcher</w:t>
      </w:r>
    </w:p>
    <w:p/>
    <w:p>
      <w:pPr>
        <w:pStyle w:val="Heading1"/>
      </w:pPr>
      <w:r>
        <w:t>Abstract</w:t>
      </w:r>
    </w:p>
    <w:p>
      <w:r>
        <w:t>Multi-objective decision problems are often represented as vectors and then reduced to a scalar objective through a weighting rule. The Productive Value-Productive Power (PV-PP) framework takes a more conditional position: multidimensional structure should remain explicit until reduction is known to preserve the decision-relevant distinctions of the task. This paper reports a controlled benchmark program against MO-Gymnasium, a public multi-objective reinforcement-learning environment suite maintained by the Farama Foundation. The benchmark program froze the PV-PP architecture before execution, initially pre-registered three theoretically distinct tests, and then expanded to complete-suite coverage to remove a reasonable selection-bias objection. Coverage was reconciled against MO-Gymnasium v1.3.2 and comprised 31 current registrations across Grid-World, Classic Control, Miscellaneous, and MuJoCo families. The results were mixed in the theoretically useful sense. Several environments were clean scalar-containment cases. Others contained Pareto-efficient policies that ordinary nonnegative linear weighted sums could not recover, explicit threshold or adequacy distinctions that scalar maximization alone did not express, terminal-failure states that should not necessarily be treated as compensable costs, and state/history distinctions that reward vectors alone did not encode. No tested registration required a new canonical PV-PP operator or state primitive. The evidence does not establish that PV-PP is optimal, superior to multi-objective reinforcement learning, or immune to failure. It supports a narrower conclusion: scalarization is conditionally adequate rather than universally sufficient or universally invalid, and the decision architecture should establish when reduction is safe before discarding multidimensional structure.</w:t>
      </w:r>
    </w:p>
    <w:p>
      <w:pPr>
        <w:pStyle w:val="Heading1"/>
      </w:pPr>
      <w:r>
        <w:t>1. Introduction</w:t>
      </w:r>
    </w:p>
    <w:p>
      <w:r>
        <w:t>A recurring engineering temptation is to turn a complicated decision into one number. A score is convenient. It can be optimized, ranked, logged, and compared. But the existence of a score does not establish that the score preserves the decision problem that existed before the reduction.</w:t>
      </w:r>
    </w:p>
    <w:p>
      <w:r>
        <w:t>The PV-PP framework was developed around a different starting point. Productive Value (PV) refers to information, services, goods, currency, and other value-bearing transfers. Productive Power (PP) refers to the capacity to generate or obtain PV. Perceived Productive Power (PPP) is the decision-maker's represented estimate of that capacity. Within the decision architecture, heterogeneous domains can remain structurally distinct while pressure, collapse horizons, governing domains, constraints, domain framing, adequacy, policy selection, realization, and state transition are evaluated.</w:t>
      </w:r>
    </w:p>
    <w:p>
      <w:r>
        <w:t>This does not imply that scalarization is wrong. In fact, a serious framework should be able to recognize cases in which a scalar is entirely sufficient. The stronger claim examined here is conditional: if a stable scalar mapping preserves the relevant comparison, feasibility, and task semantics, PV-PP should contain that reduction. If reduction destroys a distinction that changes which policies are feasible, adequate, terminally successful, reversible, or Pareto-relevant, the multidimensional structure should remain explicit.</w:t>
      </w:r>
    </w:p>
    <w:p>
      <w:r>
        <w:t>MO-Gymnasium is unusually useful for testing that proposition because it exposes vector rewards directly and also provides linear scalarization tools. It therefore supplies public decision environments in which the question 'when is one number enough?' can be tested rather than answered rhetorically.</w:t>
      </w:r>
    </w:p>
    <w:p>
      <w:pPr>
        <w:pStyle w:val="Heading1"/>
      </w:pPr>
      <w:r>
        <w:t>2. Benchmark Source and Program Design</w:t>
      </w:r>
    </w:p>
    <w:p>
      <w:pPr>
        <w:pStyle w:val="Heading2"/>
      </w:pPr>
      <w:r>
        <w:t>2.1 MO-Gymnasium</w:t>
      </w:r>
    </w:p>
    <w:p>
      <w:r>
        <w:t>MO-Gymnasium is an open-source Python library for multi-objective reinforcement learning (MORL). It follows the Gymnasium interaction model but returns vector-valued rewards. The project includes environments from the MORL literature as well as multi-objective versions of classical control and MuJoCo environments. The Farama project also provides a LinearReward wrapper, making explicit the relationship between vector rewards and weighted scalar objectives.</w:t>
      </w:r>
    </w:p>
    <w:p>
      <w:r>
        <w:t>The benchmark baseline used here was MO-Gymnasium v1.3.2. Final registry reconciliation identified 31 current registrations: 8 Grid-World, 7 Classic Control, 7 Miscellaneous, and 9 MuJoCo registrations. Current environment-specific documentation and release notes were used where aggregate index pages retained older registration names.</w:t>
      </w:r>
    </w:p>
    <w:p>
      <w:pPr>
        <w:pStyle w:val="Heading2"/>
      </w:pPr>
      <w:r>
        <w:t>2.2 Anti-selection-bias controls</w:t>
      </w:r>
    </w:p>
    <w:p>
      <w:r>
        <w:t>The program began with a pre-test selection audit. Three primary environments were frozen before their PV-PP outcomes were examined: MountainCar as a scalar-containment baseline, Minecart as a Pareto/resource-tradeoff test, and Water Reservoir as a threshold and adequacy stress test. Fruit Tree was pre-declared as a reserve. The architecture rule was explicit: no canonical PV-PP operator, definition, or selection responsibility could be changed during execution to rescue a failed benchmark.</w:t>
      </w:r>
    </w:p>
    <w:p>
      <w:r>
        <w:t>After those three tests were completed, the program was expanded to the complete public suite. That expansion was itself frozen before the remaining outcomes were known. Every current registration had to receive a recorded disposition. Materially different reward/objective or transition variants were executed or separately analyzed; observation-only or structurally equivalent registrations could be equivalence-covered with an explicit rationale. Failures, fixture corrections, dependency limitations, formalization gaps, and architecture failures were required to remain in the ledger.</w:t>
      </w:r>
    </w:p>
    <w:p>
      <w:pPr>
        <w:pStyle w:val="Heading2"/>
      </w:pPr>
      <w:r>
        <w:t>2.3 What was tested</w:t>
      </w:r>
    </w:p>
    <w:p>
      <w:r>
        <w:t>The program tested representational and decision-structural compatibility, not comparative reinforcement-learning performance. Depending on the environment and available dependencies, the work used exact enumeration, source-derived analytical Pareto calculations, deterministic or Monte Carlo mechanism probes, controlled policy families, source-faithful reward audits, and equivalence analysis.</w:t>
      </w:r>
    </w:p>
    <w:p>
      <w:r>
        <w:t>Several dependency-heavy environments could not be run as full installed simulators in the execution environment. Those cases are explicitly classified as source-faithful mechanism or reward-structure audits. Accordingly, 'complete suite' means that all 31 frozen registrations received coverage under the declared execution/equivalence rules; it does not mean 31 trained-agent reproductions.</w:t>
      </w:r>
    </w:p>
    <w:p>
      <w:pPr>
        <w:pStyle w:val="Heading1"/>
      </w:pPr>
      <w:r>
        <w:t>3. Evaluation Logic</w:t>
      </w:r>
    </w:p>
    <w:p>
      <w:r>
        <w:t>The central comparison was not 'vectors versus scalars.' The benchmark asked a more disciplined question: what information must be preserved for the decision, and under what conditions can that information safely be reduced?</w:t>
      </w:r>
    </w:p>
    <w:p>
      <w:pPr>
        <w:pStyle w:val="ListBullet"/>
      </w:pPr>
      <w:r>
        <w:t>Scalar containment (C): a stable scalar mapping is sufficient for the relevant decision ordering or objective structure.</w:t>
      </w:r>
    </w:p>
    <w:p>
      <w:pPr>
        <w:pStyle w:val="ListBullet"/>
      </w:pPr>
      <w:r>
        <w:t>Pareto/multidimensional preservation (P): efficient alternatives exist that the tested ordinary nonnegative linear weighted sums do not recover.</w:t>
      </w:r>
    </w:p>
    <w:p>
      <w:pPr>
        <w:pStyle w:val="ListBullet"/>
      </w:pPr>
      <w:r>
        <w:t>Adequacy/constraint distinction (A): a scalar argmax can exist even when no policy satisfies the explicitly framed joint requirements, or when a terminal/safety condition should be treated as eligibility rather than compensation.</w:t>
      </w:r>
    </w:p>
    <w:p>
      <w:pPr>
        <w:pStyle w:val="ListBullet"/>
      </w:pPr>
      <w:r>
        <w:t>Fallback/infeasibility (F): the correct architectural result may be that no adequate solution exists and a fallback regime is required.</w:t>
      </w:r>
    </w:p>
    <w:p>
      <w:pPr>
        <w:pStyle w:val="ListBullet"/>
      </w:pPr>
      <w:r>
        <w:t>Formalization gap (G): the architecture appears to have the required roles but lacks sufficiently explicit semantics for the tested capability.</w:t>
      </w:r>
    </w:p>
    <w:p>
      <w:pPr>
        <w:pStyle w:val="ListBullet"/>
      </w:pPr>
      <w:r>
        <w:t>Architecture failure (X): the frozen architecture cannot represent a benchmark-relevant distinction without a genuine extension.</w:t>
      </w:r>
    </w:p>
    <w:p>
      <w:r>
        <w:t>These categories are not mutually exclusive. An environment can demonstrate scalar containment for one portion of its structure while also exposing an adequacy or state-evidence distinction elsewhere.</w:t>
      </w:r>
    </w:p>
    <w:p>
      <w:pPr>
        <w:pStyle w:val="Heading1"/>
      </w:pPr>
      <w:r>
        <w:t>4. Results Overview</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t>Benchmark family</w:t>
            </w:r>
          </w:p>
        </w:tc>
        <w:tc>
          <w:tcPr>
            <w:tcW w:type="dxa" w:w="2541"/>
          </w:tcPr>
          <w:p>
            <w:r>
              <w:t>Coverage</w:t>
            </w:r>
          </w:p>
        </w:tc>
        <w:tc>
          <w:tcPr>
            <w:tcW w:type="dxa" w:w="2541"/>
          </w:tcPr>
          <w:p>
            <w:r>
              <w:t>Primary finding</w:t>
            </w:r>
          </w:p>
        </w:tc>
        <w:tc>
          <w:tcPr>
            <w:tcW w:type="dxa" w:w="2541"/>
          </w:tcPr>
          <w:p>
            <w:r>
              <w:t>PV-PP architecture</w:t>
            </w:r>
          </w:p>
        </w:tc>
      </w:tr>
      <w:tr>
        <w:tc>
          <w:tcPr>
            <w:tcW w:type="dxa" w:w="2541"/>
            <w:vAlign w:val="top"/>
          </w:tcPr>
          <w:p>
            <w:r>
              <w:t>MountainCar family</w:t>
            </w:r>
          </w:p>
        </w:tc>
        <w:tc>
          <w:tcPr>
            <w:tcW w:type="dxa" w:w="2541"/>
            <w:vAlign w:val="top"/>
          </w:tcPr>
          <w:p>
            <w:r>
              <w:t>5 registrations</w:t>
            </w:r>
          </w:p>
        </w:tc>
        <w:tc>
          <w:tcPr>
            <w:tcW w:type="dxa" w:w="2541"/>
            <w:vAlign w:val="top"/>
          </w:tcPr>
          <w:p>
            <w:r>
              <w:t>Scalar containment is often available, but reward-map choice changes the result; explicit summit adequacy separates task completion from preference.</w:t>
            </w:r>
          </w:p>
        </w:tc>
        <w:tc>
          <w:tcPr>
            <w:tcW w:type="dxa" w:w="2541"/>
            <w:vAlign w:val="top"/>
          </w:tcPr>
          <w:p>
            <w:r>
              <w:t>No change</w:t>
            </w:r>
          </w:p>
        </w:tc>
      </w:tr>
      <w:tr>
        <w:tc>
          <w:tcPr>
            <w:tcW w:type="dxa" w:w="2541"/>
            <w:vAlign w:val="top"/>
          </w:tcPr>
          <w:p>
            <w:r>
              <w:t>Minecart family</w:t>
            </w:r>
          </w:p>
        </w:tc>
        <w:tc>
          <w:tcPr>
            <w:tcW w:type="dxa" w:w="2541"/>
            <w:vAlign w:val="top"/>
          </w:tcPr>
          <w:p>
            <w:r>
              <w:t>3 registrations</w:t>
            </w:r>
          </w:p>
        </w:tc>
        <w:tc>
          <w:tcPr>
            <w:tcW w:type="dxa" w:w="2541"/>
            <w:vAlign w:val="top"/>
          </w:tcPr>
          <w:p>
            <w:r>
              <w:t>10 Pareto-efficient points; 4 unsupported by ordinary nonnegative linear weighted sums in both stochastic and deterministic analyses.</w:t>
            </w:r>
          </w:p>
        </w:tc>
        <w:tc>
          <w:tcPr>
            <w:tcW w:type="dxa" w:w="2541"/>
            <w:vAlign w:val="top"/>
          </w:tcPr>
          <w:p>
            <w:r>
              <w:t>No change</w:t>
            </w:r>
          </w:p>
        </w:tc>
      </w:tr>
      <w:tr>
        <w:tc>
          <w:tcPr>
            <w:tcW w:type="dxa" w:w="2541"/>
            <w:vAlign w:val="top"/>
          </w:tcPr>
          <w:p>
            <w:r>
              <w:t>Water Reservoir</w:t>
            </w:r>
          </w:p>
        </w:tc>
        <w:tc>
          <w:tcPr>
            <w:tcW w:type="dxa" w:w="2541"/>
            <w:vAlign w:val="top"/>
          </w:tcPr>
          <w:p>
            <w:r>
              <w:t>1 registration</w:t>
            </w:r>
          </w:p>
        </w:tc>
        <w:tc>
          <w:tcPr>
            <w:tcW w:type="dxa" w:w="2541"/>
            <w:vAlign w:val="top"/>
          </w:tcPr>
          <w:p>
            <w:r>
              <w:t>Strict joint adequacy can be empty while a scalar optimizer still returns a compromise.</w:t>
            </w:r>
          </w:p>
        </w:tc>
        <w:tc>
          <w:tcPr>
            <w:tcW w:type="dxa" w:w="2541"/>
            <w:vAlign w:val="top"/>
          </w:tcPr>
          <w:p>
            <w:r>
              <w:t>No change</w:t>
            </w:r>
          </w:p>
        </w:tc>
      </w:tr>
      <w:tr>
        <w:tc>
          <w:tcPr>
            <w:tcW w:type="dxa" w:w="2541"/>
            <w:vAlign w:val="top"/>
          </w:tcPr>
          <w:p>
            <w:r>
              <w:t>Deep Sea Treasure</w:t>
            </w:r>
          </w:p>
        </w:tc>
        <w:tc>
          <w:tcPr>
            <w:tcW w:type="dxa" w:w="2541"/>
            <w:vAlign w:val="top"/>
          </w:tcPr>
          <w:p>
            <w:r>
              <w:t>3 registrations</w:t>
            </w:r>
          </w:p>
        </w:tc>
        <w:tc>
          <w:tcPr>
            <w:tcW w:type="dxa" w:w="2541"/>
            <w:vAlign w:val="top"/>
          </w:tcPr>
          <w:p>
            <w:r>
              <w:t>Standard front: 10/10 linearly supported. Concave/mirrored front: only endpoints supported; 8/10 interior points unsupported.</w:t>
            </w:r>
          </w:p>
        </w:tc>
        <w:tc>
          <w:tcPr>
            <w:tcW w:type="dxa" w:w="2541"/>
            <w:vAlign w:val="top"/>
          </w:tcPr>
          <w:p>
            <w:r>
              <w:t>No change</w:t>
            </w:r>
          </w:p>
        </w:tc>
      </w:tr>
      <w:tr>
        <w:tc>
          <w:tcPr>
            <w:tcW w:type="dxa" w:w="2541"/>
            <w:vAlign w:val="top"/>
          </w:tcPr>
          <w:p>
            <w:r>
              <w:t>Resource/Fishwood/Bottles/Fruit/Four Room</w:t>
            </w:r>
          </w:p>
        </w:tc>
        <w:tc>
          <w:tcPr>
            <w:tcW w:type="dxa" w:w="2541"/>
            <w:vAlign w:val="top"/>
          </w:tcPr>
          <w:p>
            <w:r>
              <w:t>5 registrations</w:t>
            </w:r>
          </w:p>
        </w:tc>
        <w:tc>
          <w:tcPr>
            <w:tcW w:type="dxa" w:w="2541"/>
            <w:vAlign w:val="top"/>
          </w:tcPr>
          <w:p>
            <w:r>
              <w:t>Mixture of scalar containment, explicit adequacy, reversibility, nonlinear containment, and state-evidence distinctions.</w:t>
            </w:r>
          </w:p>
        </w:tc>
        <w:tc>
          <w:tcPr>
            <w:tcW w:type="dxa" w:w="2541"/>
            <w:vAlign w:val="top"/>
          </w:tcPr>
          <w:p>
            <w:r>
              <w:t>No change</w:t>
            </w:r>
          </w:p>
        </w:tc>
      </w:tr>
      <w:tr>
        <w:tc>
          <w:tcPr>
            <w:tcW w:type="dxa" w:w="2541"/>
            <w:vAlign w:val="top"/>
          </w:tcPr>
          <w:p>
            <w:r>
              <w:t>Lunar Lander</w:t>
            </w:r>
          </w:p>
        </w:tc>
        <w:tc>
          <w:tcPr>
            <w:tcW w:type="dxa" w:w="2541"/>
            <w:vAlign w:val="top"/>
          </w:tcPr>
          <w:p>
            <w:r>
              <w:t>2 registrations</w:t>
            </w:r>
          </w:p>
        </w:tc>
        <w:tc>
          <w:tcPr>
            <w:tcW w:type="dxa" w:w="2541"/>
            <w:vAlign w:val="top"/>
          </w:tcPr>
          <w:p>
            <w:r>
              <w:t>Nonterminal legacy reward is linearly recoverable; terminal overwrite prevents one fixed global linear map from reproducing both regimes.</w:t>
            </w:r>
          </w:p>
        </w:tc>
        <w:tc>
          <w:tcPr>
            <w:tcW w:type="dxa" w:w="2541"/>
            <w:vAlign w:val="top"/>
          </w:tcPr>
          <w:p>
            <w:r>
              <w:t>No change</w:t>
            </w:r>
          </w:p>
        </w:tc>
      </w:tr>
      <w:tr>
        <w:tc>
          <w:tcPr>
            <w:tcW w:type="dxa" w:w="2541"/>
            <w:vAlign w:val="top"/>
          </w:tcPr>
          <w:p>
            <w:r>
              <w:t>Highway</w:t>
            </w:r>
          </w:p>
        </w:tc>
        <w:tc>
          <w:tcPr>
            <w:tcW w:type="dxa" w:w="2541"/>
            <w:vAlign w:val="top"/>
          </w:tcPr>
          <w:p>
            <w:r>
              <w:t>2 registrations</w:t>
            </w:r>
          </w:p>
        </w:tc>
        <w:tc>
          <w:tcPr>
            <w:tcW w:type="dxa" w:w="2541"/>
            <w:vAlign w:val="top"/>
          </w:tcPr>
          <w:p>
            <w:r>
              <w:t>Collision/terminal safety can be structurally different from a compensable speed/lane preference; source scalar also depends on on-road state.</w:t>
            </w:r>
          </w:p>
        </w:tc>
        <w:tc>
          <w:tcPr>
            <w:tcW w:type="dxa" w:w="2541"/>
            <w:vAlign w:val="top"/>
          </w:tcPr>
          <w:p>
            <w:r>
              <w:t>No change</w:t>
            </w:r>
          </w:p>
        </w:tc>
      </w:tr>
      <w:tr>
        <w:tc>
          <w:tcPr>
            <w:tcW w:type="dxa" w:w="2541"/>
            <w:vAlign w:val="top"/>
          </w:tcPr>
          <w:p>
            <w:r>
              <w:t>Super Mario</w:t>
            </w:r>
          </w:p>
        </w:tc>
        <w:tc>
          <w:tcPr>
            <w:tcW w:type="dxa" w:w="2541"/>
            <w:vAlign w:val="top"/>
          </w:tcPr>
          <w:p>
            <w:r>
              <w:t>1 registration</w:t>
            </w:r>
          </w:p>
        </w:tc>
        <w:tc>
          <w:tcPr>
            <w:tcW w:type="dxa" w:w="2541"/>
            <w:vAlign w:val="top"/>
          </w:tcPr>
          <w:p>
            <w:r>
              <w:t>Finite death penalty can be compensated by progress/side reward; survival can instead be framed as adequacy.</w:t>
            </w:r>
          </w:p>
        </w:tc>
        <w:tc>
          <w:tcPr>
            <w:tcW w:type="dxa" w:w="2541"/>
            <w:vAlign w:val="top"/>
          </w:tcPr>
          <w:p>
            <w:r>
              <w:t>No change</w:t>
            </w:r>
          </w:p>
        </w:tc>
      </w:tr>
      <w:tr>
        <w:tc>
          <w:tcPr>
            <w:tcW w:type="dxa" w:w="2541"/>
            <w:vAlign w:val="top"/>
          </w:tcPr>
          <w:p>
            <w:r>
              <w:t>MuJoCo</w:t>
            </w:r>
          </w:p>
        </w:tc>
        <w:tc>
          <w:tcPr>
            <w:tcW w:type="dxa" w:w="2541"/>
            <w:vAlign w:val="top"/>
          </w:tcPr>
          <w:p>
            <w:r>
              <w:t>9 registrations</w:t>
            </w:r>
          </w:p>
        </w:tc>
        <w:tc>
          <w:tcPr>
            <w:tcW w:type="dxa" w:w="2541"/>
            <w:vAlign w:val="top"/>
          </w:tcPr>
          <w:p>
            <w:r>
              <w:t>Strong scalar-containment controls dominate; Reacher/Ant preserve target/directional distinctions that depend on task framing.</w:t>
            </w:r>
          </w:p>
        </w:tc>
        <w:tc>
          <w:tcPr>
            <w:tcW w:type="dxa" w:w="2541"/>
            <w:vAlign w:val="top"/>
          </w:tcPr>
          <w:p>
            <w:r>
              <w:t>No change</w:t>
            </w:r>
          </w:p>
        </w:tc>
      </w:tr>
    </w:tbl>
    <w:p>
      <w:pPr>
        <w:pStyle w:val="Heading1"/>
      </w:pPr>
      <w:r>
        <w:t>5. Scalar Containment: Cases Where One Number Was Enough</w:t>
      </w:r>
    </w:p>
    <w:p>
      <w:r>
        <w:t>A benchmark program designed only to find scalar failures would not be informative. Several MO-Gymnasium cases instead provided direct containment evidence.</w:t>
      </w:r>
    </w:p>
    <w:p>
      <w:pPr>
        <w:pStyle w:val="Heading2"/>
      </w:pPr>
      <w:r>
        <w:t>5.1 MountainCar</w:t>
      </w:r>
    </w:p>
    <w:p>
      <w:r>
        <w:t>The original MountainCar test produced a clean scalar-containment result under fixed task semantics. A stable linear scalarization could reproduce the relevant PV-PP policy selection. The later registered variants strengthened the point by showing reward-map sensitivity rather than a universal anti-scalar result: time-plus-speed favored successful momentum-building behavior under equal weights, while time-plus-movement could favor coasting unless completion was separately required. The three-dimensional time/movement/speed variant became initial-state sensitive under equal weights.</w:t>
      </w:r>
    </w:p>
    <w:p>
      <w:r>
        <w:t>The lesson is not that MountainCar needs multidimensional architecture at all times. It is that the legitimacy of reduction depends on what the scalar is being asked to preserve. If summit completion is part of the task definition, adequacy can be established first and a scalar can rank the surviving alternatives.</w:t>
      </w:r>
    </w:p>
    <w:p>
      <w:pPr>
        <w:pStyle w:val="Heading2"/>
      </w:pPr>
      <w:r>
        <w:t>5.2 Fruit Tree</w:t>
      </w:r>
    </w:p>
    <w:p>
      <w:r>
        <w:t>Fruit Tree was a particularly important control because it is six-dimensional. High dimensionality by itself did not defeat scalarization. In the complete depth-5 leaf set, all 32 terminal outcomes were Pareto-efficient and all 32 were uniquely supportable by some nonnegative linear weighting. This is strong evidence against any simplistic claim that 'many objectives require PV-PP because scalars cannot handle them.' The geometry of the feasible outcome set matters more than dimension count alone.</w:t>
      </w:r>
    </w:p>
    <w:p>
      <w:pPr>
        <w:pStyle w:val="Heading2"/>
      </w:pPr>
      <w:r>
        <w:t>5.3 MuJoCo</w:t>
      </w:r>
    </w:p>
    <w:p>
      <w:r>
        <w:t>The MuJoCo tranche provided another broad containment control. Hopper, HalfCheetah, Walker2D, Swimmer, and Humanoid expose reward components that are explicitly recombined through documented linear weights to recover their original Gymnasium scalar rewards. These environments therefore belong naturally inside the scalar-valid region of the PV-PP program for those documented task semantics.</w:t>
      </w:r>
    </w:p>
    <w:p>
      <w:r>
        <w:t>This result matters because it makes the benchmark conclusion conditional rather than ideological. A multidimensional architecture should not resist a reduction that has been demonstrated to preserve the intended decision.</w:t>
      </w:r>
    </w:p>
    <w:p>
      <w:pPr>
        <w:pStyle w:val="Heading1"/>
      </w:pPr>
      <w:r>
        <w:t>6. Linear Non-Recovery: Cases Where Weighted Sums Lost Efficient Alternatives</w:t>
      </w:r>
    </w:p>
    <w:p>
      <w:pPr>
        <w:pStyle w:val="Heading2"/>
      </w:pPr>
      <w:r>
        <w:t>6.1 Minecart</w:t>
      </w:r>
    </w:p>
    <w:p>
      <w:r>
        <w:t>Minecart produced the clearest finite Pareto example. The source-derived analytical program generated 154 candidate return vectors and 10 unique Pareto-efficient vectors over two ore outputs and fuel consumption. Exact feasibility analysis found that only 6 of the 10 efficient points were supported by any nonnegative linear weight vector summing to one. Four Pareto-efficient policies were unsupported.</w:t>
      </w:r>
    </w:p>
    <w:p>
      <w:r>
        <w:t>The deterministic Minecart registration was then executed separately because it removes ore-yield variance. It again produced 154 candidate vectors, 10 Pareto-efficient outcomes, 6 linearly supported points, and 4 unsupported points. The numerical frontier changed, but the 6/4 support structure remained. The result therefore was not an artifact of stochastic ore variance.</w:t>
      </w:r>
    </w:p>
    <w:p>
      <w:r>
        <w:t>This does not prove that the unsupported policies cannot be encoded by any scalar function. It establishes a narrower and useful result: ordinary fixed nonnegative linear weighted sums over the raw objectives do not recover the full efficient set.</w:t>
      </w:r>
    </w:p>
    <w:p>
      <w:pPr>
        <w:pStyle w:val="Heading2"/>
      </w:pPr>
      <w:r>
        <w:t>6.2 Deep Sea Treasure as an internal control</w:t>
      </w:r>
    </w:p>
    <w:p>
      <w:r>
        <w:t>The Deep Sea Treasure family supplied an unusually clean within-family comparison. On the standard/convex front, all 10 published Pareto points were supported by some nonnegative linear weighting. On the concave front, only the two endpoints were supported; all eight interior Pareto-efficient points were unsupported. The mirrored variant retained the same concave front while changing navigation geometry.</w:t>
      </w:r>
    </w:p>
    <w:p>
      <w:r>
        <w:t>That internal contrast is more informative than a blanket statement about scalarization. The same environment family contains a case where linear scalarization is complete and a case where it is incomplete. The relevant property is the geometry of the attainable tradeoff surface.</w:t>
      </w:r>
    </w:p>
    <w:p>
      <w:pPr>
        <w:pStyle w:val="Heading2"/>
      </w:pPr>
      <w:r>
        <w:t>6.3 Continuous MountainCar</w:t>
      </w:r>
    </w:p>
    <w:p>
      <w:r>
        <w:t>Continuous MountainCar added a candidate-policy-family result. A frozen family of 101 momentum policies was evaluated from five starts. Eighty-three policies reached the goal from all five starts; 46 were nondominated in mean completion time versus mean fuel. Only 15 of those 46 were supported by a fixed nonnegative linear weighting within the frozen family, leaving 31 unsupported nondominated candidates.</w:t>
      </w:r>
    </w:p>
    <w:p>
      <w:r>
        <w:t>An explicit adequacy requirement of mean completion within 180 steps and mean fuel reward at least -29 uniquely selected the magnitude-0.40 policy, which was nondominated but unsupported by every fixed nonnegative linear weighting in the tested family. The limitation is important: this is not a proof about the global environment Pareto frontier. It is a controlled result within the predeclared candidate family.</w:t>
      </w:r>
    </w:p>
    <w:p>
      <w:pPr>
        <w:pStyle w:val="Heading1"/>
      </w:pPr>
      <w:r>
        <w:t>7. Adequacy Is Not the Same Thing as Maximization</w:t>
      </w:r>
    </w:p>
    <w:p>
      <w:pPr>
        <w:pStyle w:val="Heading2"/>
      </w:pPr>
      <w:r>
        <w:t>7.1 Water Reservoir</w:t>
      </w:r>
    </w:p>
    <w:p>
      <w:r>
        <w:t>Water Reservoir produced the sharpest feasibility result. In the four-objective stress configuration, zero water-supply deficit requires release of at least 50 units, while zero downstream flooding cost requires release of at most 30. No action can satisfy both. The strict four-domain zero-deficit adequate set is therefore empty.</w:t>
      </w:r>
    </w:p>
    <w:p>
      <w:r>
        <w:t>An equal-weight scalar objective nevertheless returns a maximizing release at every tested reservoir state. That result is mathematically legitimate: when no jointly adequate action exists, a scalar optimizer still identifies the best compromise under its weights. What the scalar argmax does not express by itself is the separate statement that the framed requirements are jointly infeasible.</w:t>
      </w:r>
    </w:p>
    <w:p>
      <w:r>
        <w:t>PV-PP preserves that distinction through conjunctive adequacy and fallback. The framework can say 'no adequate policy exists' without pretending that the numerically highest compromise has restored every governing domain.</w:t>
      </w:r>
    </w:p>
    <w:p>
      <w:pPr>
        <w:pStyle w:val="Heading2"/>
      </w:pPr>
      <w:r>
        <w:t>7.2 Fishwood</w:t>
      </w:r>
    </w:p>
    <w:p>
      <w:r>
        <w:t>Fishwood contains two complementary resource objectives. Under the source default probabilities and a 200-step horizon, all-wood, all-fish, and mixed allocations lie on a simple expected tradeoff line. Depending on weights, ordinary linear scalarization selects an endpoint or can become indifferent across allocations. An explicit requirement of at least 10 expected fish and 90 expected wood uniquely retains the balanced allocation. A task-specific nonlinear maximin-style scalar also recovers that same balance.</w:t>
      </w:r>
    </w:p>
    <w:p>
      <w:r>
        <w:t>This is another boundary result rather than an anti-scalar result: linear scalarization may fail to express the particular joint requirement, while a nonlinear scalar constructed from that requirement can succeed.</w:t>
      </w:r>
    </w:p>
    <w:p>
      <w:pPr>
        <w:pStyle w:val="Heading1"/>
      </w:pPr>
      <w:r>
        <w:t>8. Terminal Failure, Reversibility, and State Evidence</w:t>
      </w:r>
    </w:p>
    <w:p>
      <w:pPr>
        <w:pStyle w:val="Heading2"/>
      </w:pPr>
      <w:r>
        <w:t>8.1 Breakable Bottles</w:t>
      </w:r>
    </w:p>
    <w:p>
      <w:r>
        <w:t>Breakable Bottles distinguishes expected efficiency from irreversible side effects. Carrying multiple bottles can reduce completion time but introduces a branch in which a bottle is dropped and permanently lost. Expected time and side-effect costs can be scalarized, but an explicit adequacy condition such as 'deliver both bottles without irreversible loss' separates a cautious policy from a faster policy that contains a failure branch. Reversibility changes the meaning of the same physical event.</w:t>
      </w:r>
    </w:p>
    <w:p>
      <w:pPr>
        <w:pStyle w:val="Heading2"/>
      </w:pPr>
      <w:r>
        <w:t>8.2 Four Room</w:t>
      </w:r>
    </w:p>
    <w:p>
      <w:r>
        <w:t>Four Room supplied a different kind of distinction. The source grants a terminal reward vector [1,1,1] on reaching the goal regardless of which collectible items were actually gathered. A shortest path can therefore terminate with the same immediate goal reward even though the event history differs materially from a route that collected the intended item types. Persistent collection flags preserve that history. Reward at termination is not always equivalent to evidence that the required events occurred.</w:t>
      </w:r>
    </w:p>
    <w:p>
      <w:pPr>
        <w:pStyle w:val="Heading2"/>
      </w:pPr>
      <w:r>
        <w:t>8.3 Lunar Lander</w:t>
      </w:r>
    </w:p>
    <w:p>
      <w:r>
        <w:t>Lunar Lander exposed regime-dependent reward semantics in the source itself. On nonterminal transitions, shaping and engine-fuel terms can be recombined with fixed weights to reproduce the legacy scalar reward. At terminal landing or crash, however, the legacy scalar is overwritten to +100 or -100 while the vector still retains shaping and fuel components. No single fixed linear weighting can exactly reproduce both arbitrary nonterminal semantics and the terminal overwrite.</w:t>
      </w:r>
    </w:p>
    <w:p>
      <w:r>
        <w:t>This is not proof that scalar representation is impossible. A piecewise or state-conditioned scalar can reproduce the source semantics. The point is that the state/regime condition is part of the representation.</w:t>
      </w:r>
    </w:p>
    <w:p>
      <w:pPr>
        <w:pStyle w:val="Heading2"/>
      </w:pPr>
      <w:r>
        <w:t>8.4 Highway and Super Mario</w:t>
      </w:r>
    </w:p>
    <w:p>
      <w:r>
        <w:t>Highway and Super Mario both illustrate the danger of automatically treating terminal failure as merely another compensable reward component. In Highway, collision is a terminal event while speed and lane position remain positive objectives. In Super Mario, death contributes a finite -25 while progress, coins, and enemy points can be positive. With some legitimate weights, enough productive or side reward can compensate for terminal failure.</w:t>
      </w:r>
    </w:p>
    <w:p>
      <w:r>
        <w:t>If the actual task permits that tradeoff, the scalar is doing nothing wrong. If the task instead requires collision-free travel or reaching the flag alive, survival belongs in task framing, constraints, or adequacy before ordinary benefit ranking. The architecture must represent what the task means rather than infer that meaning from a reward vector after the fact.</w:t>
      </w:r>
    </w:p>
    <w:p>
      <w:pPr>
        <w:pStyle w:val="Heading1"/>
      </w:pPr>
      <w:r>
        <w:t>9. What the Complete Suite Says About PV-PP</w:t>
      </w:r>
    </w:p>
    <w:p>
      <w:r>
        <w:t>Across all 31 frozen registrations, no benchmark forced a new canonical PV-PP operator or state primitive. That result should be interpreted cautiously. It means the frozen architecture had enough representational roles to express the tested distinctions under the program's execution rules. It does not prove that the architecture is complete for arbitrary decision problems.</w:t>
      </w:r>
    </w:p>
    <w:p>
      <w:r>
        <w:t>The stronger result is the pattern across heterogeneous cases. The benchmark suite repeatedly separated four questions that are often compressed into one optimization step:</w:t>
      </w:r>
    </w:p>
    <w:p>
      <w:pPr>
        <w:pStyle w:val="ListBullet"/>
      </w:pPr>
      <w:r>
        <w:t>What outcomes are physically or institutionally possible?</w:t>
      </w:r>
    </w:p>
    <w:p>
      <w:pPr>
        <w:pStyle w:val="ListBullet"/>
      </w:pPr>
      <w:r>
        <w:t>Which requirements are noncompensable for the framed task?</w:t>
      </w:r>
    </w:p>
    <w:p>
      <w:pPr>
        <w:pStyle w:val="ListBullet"/>
      </w:pPr>
      <w:r>
        <w:t>Which remaining alternatives are adequate?</w:t>
      </w:r>
    </w:p>
    <w:p>
      <w:pPr>
        <w:pStyle w:val="ListBullet"/>
      </w:pPr>
      <w:r>
        <w:t>Only then, how should adequate alternatives be ranked or selected?</w:t>
      </w:r>
    </w:p>
    <w:p>
      <w:r>
        <w:t>When those questions collapse safely to one scalar, PV-PP should allow the collapse. When they do not, preserving the structure is not opposition to optimization; it is a refusal to discard information before its relevance has been established.</w:t>
      </w:r>
    </w:p>
    <w:p>
      <w:pPr>
        <w:pStyle w:val="Heading1"/>
      </w:pPr>
      <w:r>
        <w:t>10. Relationship to Multi-Objective Reinforcement Learning</w:t>
      </w:r>
    </w:p>
    <w:p>
      <w:r>
        <w:t>This benchmark program should not be read as a competition between PV-PP and MORL. MO-Gymnasium was built precisely because many reinforcement-learning problems contain multiple objectives whose tradeoffs should remain visible. PV-PP uses the environments for a different question: what decision architecture is required before, during, and after those tradeoffs are reduced?</w:t>
      </w:r>
    </w:p>
    <w:p>
      <w:r>
        <w:t>MORL methods can learn Pareto sets, conditioned policies, nonlinear preferences, constrained solutions, lexicographic rules, or other structures that go well beyond a fixed weighted sum. Nothing in these results establishes that MORL is unable to represent the benchmark distinctions. Likewise, demonstrating that a particular linear scalarization is incomplete does not establish that no scalar representation exists.</w:t>
      </w:r>
    </w:p>
    <w:p>
      <w:r>
        <w:t>The narrower PV-PP contribution is architectural. It makes reduction itself conditional on framing, feasibility, adequacy, state, history, and consequence structure rather than assuming that all of those distinctions have already been faithfully encoded in the objective.</w:t>
      </w:r>
    </w:p>
    <w:p>
      <w:pPr>
        <w:pStyle w:val="Heading1"/>
      </w:pPr>
      <w:r>
        <w:t>11. Limitations</w:t>
      </w:r>
    </w:p>
    <w:p>
      <w:pPr>
        <w:pStyle w:val="ListBullet"/>
      </w:pPr>
      <w:r>
        <w:t>The program is a decision-representation and structural benchmark, not a trained-agent performance comparison.</w:t>
      </w:r>
    </w:p>
    <w:p>
      <w:pPr>
        <w:pStyle w:val="ListBullet"/>
      </w:pPr>
      <w:r>
        <w:t>Several dependency-heavy environments were covered through source-faithful mechanism or reward audits rather than full installed simulator rollouts.</w:t>
      </w:r>
    </w:p>
    <w:p>
      <w:pPr>
        <w:pStyle w:val="ListBullet"/>
      </w:pPr>
      <w:r>
        <w:t>Linear non-recovery results concern the tested ordinary nonnegative weighted-sum forms over the stated objective vectors. They do not prove impossibility of nonlinear, piecewise, constrained, history-dependent, or state-conditioned scalar representations.</w:t>
      </w:r>
    </w:p>
    <w:p>
      <w:pPr>
        <w:pStyle w:val="ListBullet"/>
      </w:pPr>
      <w:r>
        <w:t>Some adequacy probes introduce explicit PV-PP task framing. Those thresholds are controlled analytical probes, not normative requirements supplied by MO-Gymnasium.</w:t>
      </w:r>
    </w:p>
    <w:p>
      <w:pPr>
        <w:pStyle w:val="ListBullet"/>
      </w:pPr>
      <w:r>
        <w:t>Continuous MountainCar's nonconvexity result is limited to the frozen candidate policy family rather than the global policy space.</w:t>
      </w:r>
    </w:p>
    <w:p>
      <w:pPr>
        <w:pStyle w:val="ListBullet"/>
      </w:pPr>
      <w:r>
        <w:t>The benchmark suite is finite. Passing it cannot establish universal architectural completeness.</w:t>
      </w:r>
    </w:p>
    <w:p>
      <w:pPr>
        <w:pStyle w:val="ListBullet"/>
      </w:pPr>
      <w:r>
        <w:t>The separate mixed/randomized-policy formalization boundary identified in an earlier adversarial hardening benchmark remains outside this MO-Gymnasium closeout.</w:t>
      </w:r>
    </w:p>
    <w:p>
      <w:pPr>
        <w:pStyle w:val="Heading1"/>
      </w:pPr>
      <w:r>
        <w:t>12. Conclusion</w:t>
      </w:r>
    </w:p>
    <w:p>
      <w:r>
        <w:t>The completed MO-Gymnasium program does not support the slogan that scalarization is bad. It supports a more useful proposition: scalarization has a domain of validity.</w:t>
      </w:r>
    </w:p>
    <w:p>
      <w:r>
        <w:t>In MountainCar, Fruit Tree, and much of MuJoCo, one number can be enough because the relevant mapping is stable and demonstrably preserves the intended comparison. In Minecart, concave Deep Sea Treasure, and the frozen Continuous MountainCar policy family, ordinary nonnegative linear weighted sums leave some efficient alternatives unrecoverable. In Water Reservoir, a scalar optimum exists even when the explicitly framed adequate set is empty. In Breakable Bottles, Four Room, Lunar Lander, Highway, and Super Mario, reversibility, event history, regime, or terminal-state semantics carry information that should not automatically be treated as another compensable term.</w:t>
      </w:r>
    </w:p>
    <w:p>
      <w:r>
        <w:t>The resulting rule is simple to state but demanding to apply: preserve multidimensional structure until reduction is shown to be safe. Use a scalar when it faithfully compresses the decision. Keep the structure when the compression would erase a distinction that can change feasibility, adequacy, terminal success, reversibility, or the set of relevant alternatives.</w:t>
      </w:r>
    </w:p>
    <w:p>
      <w:r>
        <w:t>That is the benchmark-supported position of the Productive Value-Productive Power framework at the close of this program. It is constructive evidence, not proof. The architecture survived a complete public multi-objective benchmark suite without modification, while the suite itself supplied both positive scalar-containment cases and clear boundaries where a simple weighted sum was not enough.</w:t>
      </w:r>
    </w:p>
    <w:p>
      <w:pPr>
        <w:pStyle w:val="Heading1"/>
      </w:pPr>
      <w:r>
        <w:t>References</w:t>
      </w:r>
    </w:p>
    <w:p>
      <w:r>
        <w:t>Felten, F., Alegre, L. N., Nowé, A., Bazzan, A. L. C., Talbi, E. G., Danoy, G., &amp; da Silva, B. C. (2023). A Toolkit for Reliable Benchmarking and Research in Multi-Objective Reinforcement Learning. Advances in Neural Information Processing Systems 36.</w:t>
      </w:r>
    </w:p>
    <w:p>
      <w:r>
        <w:t>Farama Foundation. MO-Gymnasium documentation. https://mo-gymnasium.farama.org/</w:t>
      </w:r>
    </w:p>
    <w:p>
      <w:r>
        <w:t>Farama Foundation. MO-Gymnasium source repository. https://github.com/Farama-Foundation/MO-Gymnasium</w:t>
      </w:r>
    </w:p>
    <w:p>
      <w:r>
        <w:t>Farama Foundation. MO-Gymnasium releases. https://github.com/Farama-Foundation/MO-Gymnasium/releases</w:t>
      </w:r>
    </w:p>
    <w:p>
      <w:r>
        <w:t>Amundsen, L. (2026). Productive Value-Productive Power (PV-PP) framework. Benchmark and scalar-reduction program documents, August 2026.</w:t>
      </w:r>
    </w:p>
    <w:p>
      <w:pPr>
        <w:pStyle w:val="Heading1"/>
      </w:pPr>
      <w:r>
        <w:t>Appendix A. Frozen Registration Coverage</w:t>
      </w:r>
    </w:p>
    <w:p>
      <w:pPr>
        <w:pStyle w:val="Heading2"/>
      </w:pPr>
      <w:r>
        <w:t>Grid-World</w:t>
      </w:r>
    </w:p>
    <w:p>
      <w:r>
        <w:t>deep-sea-treasure-v0, deep-sea-treasure-concave-v0, deep-sea-treasure-mirrored-v0, resource-gathering-v0, fishwood-v0, breakable-bottles-v0, fruit-tree-v0, four-room-v0</w:t>
      </w:r>
    </w:p>
    <w:p>
      <w:pPr>
        <w:pStyle w:val="Heading2"/>
      </w:pPr>
      <w:r>
        <w:t>Classic Control</w:t>
      </w:r>
    </w:p>
    <w:p>
      <w:r>
        <w:t>mo-mountaincar-v0, mo-mountaincar-3d-v0, mo-mountaincar-timemove-v0, mo-mountaincar-timespeed-v0, mo-mountaincarcontinuous-v0, mo-lunar-lander-v3, mo-lunar-lander-continuous-v3</w:t>
      </w:r>
    </w:p>
    <w:p>
      <w:pPr>
        <w:pStyle w:val="Heading2"/>
      </w:pPr>
      <w:r>
        <w:t>Miscellaneous</w:t>
      </w:r>
    </w:p>
    <w:p>
      <w:r>
        <w:t>water-reservoir-v0, minecart-v0, minecart-rgb-v0, minecart-deterministic-v0, mo-highway-v0, mo-highway-fast-v0, mo-supermario-v0</w:t>
      </w:r>
    </w:p>
    <w:p>
      <w:pPr>
        <w:pStyle w:val="Heading2"/>
      </w:pPr>
      <w:r>
        <w:t>MuJoCo</w:t>
      </w:r>
    </w:p>
    <w:p>
      <w:r>
        <w:t>mo-reacher-v5, mo-hopper-v5, mo-hopper-2obj-v5, mo-halfcheetah-v5, mo-walker2d-v5, mo-ant-v5, mo-ant-2obj-v5, mo-swimmer-v5, mo-humanoid-v5</w:t>
      </w:r>
    </w:p>
    <w:p>
      <w:pPr>
        <w:pStyle w:val="Heading1"/>
      </w:pPr>
      <w:r>
        <w:t>Appendix B. Benchmark Claim Boundary</w:t>
      </w:r>
    </w:p>
    <w:p>
      <w:r>
        <w:t>Complete-suite coverage refers to the 31 registrations frozen by the August 2026 registry reconciliation under MO-Gymnasium v1.3.2. Coverage includes direct executions, exact or source-derived analytical tests, source-faithful mechanism audits where dependencies were unavailable, and explicitly justified equivalence coverage. It should not be restated as 31 full reinforcement-learning reproductions, 31 trained-agent victories, or proof that PV-PP is superior to MO-Gymnasium, MORL, or scalar decision systems.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PV-PP / MO-Gymnasium White Paper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