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MO-01 MountainCar Execution Result v1.0</w:t>
      </w:r>
    </w:p>
    <w:p>
      <w:r>
        <w:t>PV-PP MO-Gymnasium Public Benchmark Program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- scalar containment demonstrated. </w:t>
      </w:r>
      <w:r>
        <w:t>Automated regression: 11 passed, 0 failed.</w:t>
      </w:r>
    </w:p>
    <w:p>
      <w:pPr>
        <w:pStyle w:val="Heading1"/>
      </w:pPr>
      <w:r>
        <w:t>Observed behavior</w:t>
      </w:r>
    </w:p>
    <w:p>
      <w:r>
        <w:t>The momentum policy reached the summit from all five frozen starting positions in 113-124 steps. Every other simple policy in the frozen comparison set timed out at 200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Start</w:t>
            </w:r>
          </w:p>
        </w:tc>
        <w:tc>
          <w:tcPr>
            <w:tcW w:type="dxa" w:w="2045"/>
          </w:tcPr>
          <w:p>
            <w:r>
              <w:t>Momentum steps</w:t>
            </w:r>
          </w:p>
        </w:tc>
        <w:tc>
          <w:tcPr>
            <w:tcW w:type="dxa" w:w="2045"/>
          </w:tcPr>
          <w:p>
            <w:r>
              <w:t>Reverse</w:t>
            </w:r>
          </w:p>
        </w:tc>
        <w:tc>
          <w:tcPr>
            <w:tcW w:type="dxa" w:w="2045"/>
          </w:tcPr>
          <w:p>
            <w:r>
              <w:t>Forward</w:t>
            </w:r>
          </w:p>
        </w:tc>
        <w:tc>
          <w:tcPr>
            <w:tcW w:type="dxa" w:w="2045"/>
          </w:tcPr>
          <w:p>
            <w:r>
              <w:t>Containment threshold alpha</w:t>
            </w:r>
          </w:p>
        </w:tc>
      </w:tr>
      <w:tr>
        <w:tc>
          <w:tcPr>
            <w:tcW w:type="dxa" w:w="2045"/>
          </w:tcPr>
          <w:p>
            <w:r>
              <w:t>-0.60</w:t>
            </w:r>
          </w:p>
        </w:tc>
        <w:tc>
          <w:tcPr>
            <w:tcW w:type="dxa" w:w="2045"/>
          </w:tcPr>
          <w:p>
            <w:r>
              <w:t>113</w:t>
            </w:r>
          </w:p>
        </w:tc>
        <w:tc>
          <w:tcPr>
            <w:tcW w:type="dxa" w:w="2045"/>
          </w:tcPr>
          <w:p>
            <w:r>
              <w:t>34</w:t>
            </w:r>
          </w:p>
        </w:tc>
        <w:tc>
          <w:tcPr>
            <w:tcW w:type="dxa" w:w="2045"/>
          </w:tcPr>
          <w:p>
            <w:r>
              <w:t>79</w:t>
            </w:r>
          </w:p>
        </w:tc>
        <w:tc>
          <w:tcPr>
            <w:tcW w:type="dxa" w:w="2045"/>
          </w:tcPr>
          <w:p>
            <w:r>
              <w:t>0.770</w:t>
            </w:r>
          </w:p>
        </w:tc>
      </w:tr>
      <w:tr>
        <w:tc>
          <w:tcPr>
            <w:tcW w:type="dxa" w:w="2045"/>
          </w:tcPr>
          <w:p>
            <w:r>
              <w:t>-0.55</w:t>
            </w:r>
          </w:p>
        </w:tc>
        <w:tc>
          <w:tcPr>
            <w:tcW w:type="dxa" w:w="2045"/>
          </w:tcPr>
          <w:p>
            <w:r>
              <w:t>115</w:t>
            </w:r>
          </w:p>
        </w:tc>
        <w:tc>
          <w:tcPr>
            <w:tcW w:type="dxa" w:w="2045"/>
          </w:tcPr>
          <w:p>
            <w:r>
              <w:t>37</w:t>
            </w:r>
          </w:p>
        </w:tc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0.739</w:t>
            </w:r>
          </w:p>
        </w:tc>
      </w:tr>
      <w:tr>
        <w:tc>
          <w:tcPr>
            <w:tcW w:type="dxa" w:w="2045"/>
          </w:tcPr>
          <w:p>
            <w:r>
              <w:t>-0.50</w:t>
            </w:r>
          </w:p>
        </w:tc>
        <w:tc>
          <w:tcPr>
            <w:tcW w:type="dxa" w:w="2045"/>
          </w:tcPr>
          <w:p>
            <w:r>
              <w:t>124</w:t>
            </w:r>
          </w:p>
        </w:tc>
        <w:tc>
          <w:tcPr>
            <w:tcW w:type="dxa" w:w="2045"/>
          </w:tcPr>
          <w:p>
            <w:r>
              <w:t>46</w:t>
            </w:r>
          </w:p>
        </w:tc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0.613</w:t>
            </w:r>
          </w:p>
        </w:tc>
      </w:tr>
      <w:tr>
        <w:tc>
          <w:tcPr>
            <w:tcW w:type="dxa" w:w="2045"/>
          </w:tcPr>
          <w:p>
            <w:r>
              <w:t>-0.45</w:t>
            </w:r>
          </w:p>
        </w:tc>
        <w:tc>
          <w:tcPr>
            <w:tcW w:type="dxa" w:w="2045"/>
          </w:tcPr>
          <w:p>
            <w:r>
              <w:t>121</w:t>
            </w:r>
          </w:p>
        </w:tc>
        <w:tc>
          <w:tcPr>
            <w:tcW w:type="dxa" w:w="2045"/>
          </w:tcPr>
          <w:p>
            <w:r>
              <w:t>43</w:t>
            </w:r>
          </w:p>
        </w:tc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0.653</w:t>
            </w:r>
          </w:p>
        </w:tc>
      </w:tr>
      <w:tr>
        <w:tc>
          <w:tcPr>
            <w:tcW w:type="dxa" w:w="2045"/>
          </w:tcPr>
          <w:p>
            <w:r>
              <w:t>-0.40</w:t>
            </w:r>
          </w:p>
        </w:tc>
        <w:tc>
          <w:tcPr>
            <w:tcW w:type="dxa" w:w="2045"/>
          </w:tcPr>
          <w:p>
            <w:r>
              <w:t>122</w:t>
            </w:r>
          </w:p>
        </w:tc>
        <w:tc>
          <w:tcPr>
            <w:tcW w:type="dxa" w:w="2045"/>
          </w:tcPr>
          <w:p>
            <w:r>
              <w:t>42</w:t>
            </w:r>
          </w:p>
        </w:tc>
        <w:tc>
          <w:tcPr>
            <w:tcW w:type="dxa" w:w="2045"/>
          </w:tcPr>
          <w:p>
            <w:r>
              <w:t>80</w:t>
            </w:r>
          </w:p>
        </w:tc>
        <w:tc>
          <w:tcPr>
            <w:tcW w:type="dxa" w:w="2045"/>
          </w:tcPr>
          <w:p>
            <w:r>
              <w:t>0.639</w:t>
            </w:r>
          </w:p>
        </w:tc>
      </w:tr>
    </w:tbl>
    <w:p>
      <w:pPr>
        <w:pStyle w:val="Heading1"/>
      </w:pPr>
      <w:r>
        <w:t>Scalar containment</w:t>
      </w:r>
    </w:p>
    <w:p>
      <w:r>
        <w:t>For symmetric movement weights w=(1, alpha, alpha), the momentum policy's scalar return is -(1+alpha)*steps because every momentum-policy step is either a left or right acceleration. The coast policy receives -200 from time and zero movement penalties. Therefore momentum beats coasting whenever alpha &lt; 200/steps - 1.</w:t>
      </w:r>
    </w:p>
    <w:p>
      <w:r>
        <w:t>Across the five frozen starts, the most restrictive threshold was alpha = 0.6129. Accordingly, alpha = 0.5 selected momentum at every start. Time-only weighting and alpha = 0.1 also selected momentum at every start. This is a nontrivial stable scalar-reduction region.</w:t>
      </w:r>
    </w:p>
    <w:p>
      <w:pPr>
        <w:pStyle w:val="Heading1"/>
      </w:pPr>
      <w:r>
        <w:t>Preference reversal at high movement cost</w:t>
      </w:r>
    </w:p>
    <w:p>
      <w:r>
        <w:t>At alpha = 1.0, the global scalar winner became COAST for every frozen starting state. This is not a contradiction. With that weighting, avoiding movement has been made valuable enough that accepting the 200-step timeout scores better than expending the actions required to reach the goal.</w:t>
      </w:r>
    </w:p>
    <w:p>
      <w:pPr>
        <w:pStyle w:val="Heading1"/>
      </w:pPr>
      <w:r>
        <w:t>PV-PP interpretation</w:t>
      </w:r>
    </w:p>
    <w:p>
      <w:r>
        <w:t>Under the frozen PV-PP formulation, reaching the summit within the horizon is part of task adequacy. A timeout policy therefore does not survive adequacy merely because a weighted scalar gives it a numerically higher score. Among adequate survivors, momentum remained the winner even under w=(1,1,1).</w:t>
      </w:r>
    </w:p>
    <w:p>
      <w:pPr>
        <w:pStyle w:val="Heading1"/>
      </w:pPr>
      <w:r>
        <w:t>Result classification</w:t>
      </w:r>
    </w:p>
    <w:p>
      <w:pPr>
        <w:pStyle w:val="ListBullet"/>
      </w:pPr>
      <w:r>
        <w:t>Containment result: confirmed. A stable scalar map can reproduce the PV-PP selection in this benchmark.</w:t>
      </w:r>
    </w:p>
    <w:p>
      <w:pPr>
        <w:pStyle w:val="ListBullet"/>
      </w:pPr>
      <w:r>
        <w:t>Scalarization is not preference-free. Changing weights can change the effective task.</w:t>
      </w:r>
    </w:p>
    <w:p>
      <w:pPr>
        <w:pStyle w:val="ListBullet"/>
      </w:pPr>
      <w:r>
        <w:t>No scalar non-reduction claim is justified by MO-01.</w:t>
      </w:r>
    </w:p>
    <w:p>
      <w:pPr>
        <w:pStyle w:val="ListBullet"/>
      </w:pPr>
      <w:r>
        <w:t>No new PV-PP operator, state primitive, or selection rule is required.</w:t>
      </w:r>
    </w:p>
    <w:sectPr w:rsidR="00FC693F" w:rsidRPr="0006063C" w:rsidSect="00034616">
      <w:pgSz w:w="12240" w:h="15840"/>
      <w:pgMar w:top="749" w:right="1008" w:bottom="74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