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MO-02 Minecart Closeout v1.0</w:t>
      </w:r>
    </w:p>
    <w:p>
      <w:r>
        <w:t>PV-PP MO-Gymnasium Public Benchmark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PASS AS MULTIDIMENSIONAL TRADEOFF / LINEAR-SCALAR NON-RECOVERY TEST.</w:t>
      </w:r>
    </w:p>
    <w:p>
      <w:r>
        <w:t>MO-02 produced the first public MO-Gymnasium result in this program where the distinction between retaining multidimensional structure and using one fixed weighted sum is material.</w:t>
      </w:r>
    </w:p>
    <w:p>
      <w:pPr>
        <w:pStyle w:val="Heading1"/>
      </w:pPr>
      <w:r>
        <w:t>Core finding</w:t>
      </w:r>
    </w:p>
    <w:p>
      <w:r>
        <w:t>From 154 source-derived candidate returns, Minecart produced 10 unique Pareto-efficient vectors. Four were not supported by any nonnegative linear weighted sum. Three pre-specified adequacy cases uniquely selected one of these unsupported Pareto points by imposing minimum ore requirements and a fuel boundary.</w:t>
      </w:r>
    </w:p>
    <w:p>
      <w:pPr>
        <w:pStyle w:val="Heading1"/>
      </w:pPr>
      <w:r>
        <w:t>Interpretation for the scalar program</w:t>
      </w:r>
    </w:p>
    <w:p>
      <w:r>
        <w:t>The result is narrower and cleaner than saying 'one number cannot work.' A weighted sum works for supported regions of the Minecart Pareto set and legitimately changes winners when the weights express different preferences. But a fixed linear scalar over the raw objective vector cannot recover every efficient policy. When the decision includes threshold-like adequacy requirements, retaining the dimensions until adequacy is evaluated can preserve feasible choices that linear scalarization discards.</w:t>
      </w:r>
    </w:p>
    <w:p>
      <w:pPr>
        <w:pStyle w:val="Heading1"/>
      </w:pPr>
      <w:r>
        <w:t>Architecture disposition</w:t>
      </w:r>
    </w:p>
    <w:p>
      <w:pPr>
        <w:pStyle w:val="ListBullet"/>
      </w:pPr>
      <w:r>
        <w:t>Canonical PV-PP change: NONE.</w:t>
      </w:r>
    </w:p>
    <w:p>
      <w:pPr>
        <w:pStyle w:val="ListBullet"/>
      </w:pPr>
      <w:r>
        <w:t>New operator: NONE.</w:t>
      </w:r>
    </w:p>
    <w:p>
      <w:pPr>
        <w:pStyle w:val="ListBullet"/>
      </w:pPr>
      <w:r>
        <w:t>Architecture failure: NONE.</w:t>
      </w:r>
    </w:p>
    <w:p>
      <w:pPr>
        <w:pStyle w:val="ListBullet"/>
      </w:pPr>
      <w:r>
        <w:t>Benchmark finding: standard nonnegative linear scalarization is incomplete over the frozen Minecart Pareto set.</w:t>
      </w:r>
    </w:p>
    <w:p>
      <w:pPr>
        <w:pStyle w:val="ListBullet"/>
      </w:pPr>
      <w:r>
        <w:t>PV-PP relevance: existing multidimensional adequacy/selection structure can represent the threshold cases without modifying the framework.</w:t>
      </w:r>
    </w:p>
    <w:p>
      <w:pPr>
        <w:pStyle w:val="Heading1"/>
      </w:pPr>
      <w:r>
        <w:t>Execution qualification</w:t>
      </w:r>
    </w:p>
    <w:p>
      <w:r>
        <w:t>This was a source-faithful reconstruction of MO-Gymnasium's analytical Minecart Pareto routine, not a full installed Gymnasium episode runner or trained MORL agent. Claims are therefore about the public environment's reward geometry and candidate-policy structure, not comparative learning performance.</w:t>
      </w:r>
    </w:p>
    <w:p>
      <w:pPr>
        <w:pStyle w:val="Heading1"/>
      </w:pPr>
      <w:r>
        <w:t>Next benchmark</w:t>
      </w:r>
    </w:p>
    <w:p>
      <w:r>
        <w:t>Proceed to MO-03 Water Reservoir, the strongest pre-selected test of state-dependent governing conditions, thresholds, and whether a fixed scalar map can remain adequate as the controlling problem changes.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