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MO-02 Minecart Execution Result v1.0</w:t>
      </w:r>
    </w:p>
    <w:p>
      <w:r>
        <w:t>PV-PP MO-Gymnasium Public Benchmark Program | August 2026</w:t>
      </w:r>
    </w:p>
    <w:p>
      <w:pPr>
        <w:pStyle w:val="Heading1"/>
      </w:pPr>
      <w:r>
        <w:t>Execution result</w:t>
      </w:r>
    </w:p>
    <w:p>
      <w:r>
        <w:rPr>
          <w:b/>
        </w:rPr>
        <w:t xml:space="preserve">PASS - multidimensional non-recovery under linear weighted-sum scalarization demonstrated. </w:t>
      </w:r>
      <w:r>
        <w:t>Automated regression: 11 passed, 0 failed.</w:t>
      </w:r>
    </w:p>
    <w:p>
      <w:pPr>
        <w:pStyle w:val="Heading1"/>
      </w:pPr>
      <w:r>
        <w:t>Pareto structure</w:t>
      </w:r>
    </w:p>
    <w:p>
      <w:r>
        <w:t>The source-derived analytical routine generated 154 candidate return vectors and 10 unique Pareto-efficient vectors. Exact linear-program feasibility checks showed that only 6 of the 10 are supported by any nonnegative linear weight vector summing to one. Four Pareto-efficient vectors are unsupported: no fixed nonnegative linear weighting of [ore 1, ore 2, fuel reward] makes any of those four a global weighted-sum optimum.</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Point</w:t>
            </w:r>
          </w:p>
        </w:tc>
        <w:tc>
          <w:tcPr>
            <w:tcW w:type="dxa" w:w="2045"/>
          </w:tcPr>
          <w:p>
            <w:r>
              <w:t>Ore 1</w:t>
            </w:r>
          </w:p>
        </w:tc>
        <w:tc>
          <w:tcPr>
            <w:tcW w:type="dxa" w:w="2045"/>
          </w:tcPr>
          <w:p>
            <w:r>
              <w:t>Ore 2</w:t>
            </w:r>
          </w:p>
        </w:tc>
        <w:tc>
          <w:tcPr>
            <w:tcW w:type="dxa" w:w="2045"/>
          </w:tcPr>
          <w:p>
            <w:r>
              <w:t>Fuel</w:t>
            </w:r>
          </w:p>
        </w:tc>
        <w:tc>
          <w:tcPr>
            <w:tcW w:type="dxa" w:w="2045"/>
          </w:tcPr>
          <w:p>
            <w:r>
              <w:t>Linear-weight supported?</w:t>
            </w:r>
          </w:p>
        </w:tc>
      </w:tr>
      <w:tr>
        <w:tc>
          <w:tcPr>
            <w:tcW w:type="dxa" w:w="2045"/>
          </w:tcPr>
          <w:p>
            <w:r>
              <w:t>0</w:t>
            </w:r>
          </w:p>
        </w:tc>
        <w:tc>
          <w:tcPr>
            <w:tcW w:type="dxa" w:w="2045"/>
          </w:tcPr>
          <w:p>
            <w:r>
              <w:t>0.8000</w:t>
            </w:r>
          </w:p>
        </w:tc>
        <w:tc>
          <w:tcPr>
            <w:tcW w:type="dxa" w:w="2045"/>
          </w:tcPr>
          <w:p>
            <w:r>
              <w:t>0.1596</w:t>
            </w:r>
          </w:p>
        </w:tc>
        <w:tc>
          <w:tcPr>
            <w:tcW w:type="dxa" w:w="2045"/>
          </w:tcPr>
          <w:p>
            <w:r>
              <w:t>-0.78</w:t>
            </w:r>
          </w:p>
        </w:tc>
        <w:tc>
          <w:tcPr>
            <w:tcW w:type="dxa" w:w="2045"/>
          </w:tcPr>
          <w:p>
            <w:r>
              <w:t>No</w:t>
            </w:r>
          </w:p>
        </w:tc>
      </w:tr>
      <w:tr>
        <w:tc>
          <w:tcPr>
            <w:tcW w:type="dxa" w:w="2045"/>
          </w:tcPr>
          <w:p>
            <w:r>
              <w:t>1</w:t>
            </w:r>
          </w:p>
        </w:tc>
        <w:tc>
          <w:tcPr>
            <w:tcW w:type="dxa" w:w="2045"/>
          </w:tcPr>
          <w:p>
            <w:r>
              <w:t>1.2506</w:t>
            </w:r>
          </w:p>
        </w:tc>
        <w:tc>
          <w:tcPr>
            <w:tcW w:type="dxa" w:w="2045"/>
          </w:tcPr>
          <w:p>
            <w:r>
              <w:t>0.2494</w:t>
            </w:r>
          </w:p>
        </w:tc>
        <w:tc>
          <w:tcPr>
            <w:tcW w:type="dxa" w:w="2045"/>
          </w:tcPr>
          <w:p>
            <w:r>
              <w:t>-1.00</w:t>
            </w:r>
          </w:p>
        </w:tc>
        <w:tc>
          <w:tcPr>
            <w:tcW w:type="dxa" w:w="2045"/>
          </w:tcPr>
          <w:p>
            <w:r>
              <w:t>Yes</w:t>
            </w:r>
          </w:p>
        </w:tc>
      </w:tr>
      <w:tr>
        <w:tc>
          <w:tcPr>
            <w:tcW w:type="dxa" w:w="2045"/>
          </w:tcPr>
          <w:p>
            <w:r>
              <w:t>2</w:t>
            </w:r>
          </w:p>
        </w:tc>
        <w:tc>
          <w:tcPr>
            <w:tcW w:type="dxa" w:w="2045"/>
          </w:tcPr>
          <w:p>
            <w:r>
              <w:t>0.6009</w:t>
            </w:r>
          </w:p>
        </w:tc>
        <w:tc>
          <w:tcPr>
            <w:tcW w:type="dxa" w:w="2045"/>
          </w:tcPr>
          <w:p>
            <w:r>
              <w:t>0.4110</w:t>
            </w:r>
          </w:p>
        </w:tc>
        <w:tc>
          <w:tcPr>
            <w:tcW w:type="dxa" w:w="2045"/>
          </w:tcPr>
          <w:p>
            <w:r>
              <w:t>-0.82</w:t>
            </w:r>
          </w:p>
        </w:tc>
        <w:tc>
          <w:tcPr>
            <w:tcW w:type="dxa" w:w="2045"/>
          </w:tcPr>
          <w:p>
            <w:r>
              <w:t>No</w:t>
            </w:r>
          </w:p>
        </w:tc>
      </w:tr>
      <w:tr>
        <w:tc>
          <w:tcPr>
            <w:tcW w:type="dxa" w:w="2045"/>
          </w:tcPr>
          <w:p>
            <w:r>
              <w:t>3</w:t>
            </w:r>
          </w:p>
        </w:tc>
        <w:tc>
          <w:tcPr>
            <w:tcW w:type="dxa" w:w="2045"/>
          </w:tcPr>
          <w:p>
            <w:r>
              <w:t>0.8907</w:t>
            </w:r>
          </w:p>
        </w:tc>
        <w:tc>
          <w:tcPr>
            <w:tcW w:type="dxa" w:w="2045"/>
          </w:tcPr>
          <w:p>
            <w:r>
              <w:t>0.6093</w:t>
            </w:r>
          </w:p>
        </w:tc>
        <w:tc>
          <w:tcPr>
            <w:tcW w:type="dxa" w:w="2045"/>
          </w:tcPr>
          <w:p>
            <w:r>
              <w:t>-1.04</w:t>
            </w:r>
          </w:p>
        </w:tc>
        <w:tc>
          <w:tcPr>
            <w:tcW w:type="dxa" w:w="2045"/>
          </w:tcPr>
          <w:p>
            <w:r>
              <w:t>Yes</w:t>
            </w:r>
          </w:p>
        </w:tc>
      </w:tr>
      <w:tr>
        <w:tc>
          <w:tcPr>
            <w:tcW w:type="dxa" w:w="2045"/>
          </w:tcPr>
          <w:p>
            <w:r>
              <w:t>4</w:t>
            </w:r>
          </w:p>
        </w:tc>
        <w:tc>
          <w:tcPr>
            <w:tcW w:type="dxa" w:w="2045"/>
          </w:tcPr>
          <w:p>
            <w:r>
              <w:t>0.7500</w:t>
            </w:r>
          </w:p>
        </w:tc>
        <w:tc>
          <w:tcPr>
            <w:tcW w:type="dxa" w:w="2045"/>
          </w:tcPr>
          <w:p>
            <w:r>
              <w:t>0.7500</w:t>
            </w:r>
          </w:p>
        </w:tc>
        <w:tc>
          <w:tcPr>
            <w:tcW w:type="dxa" w:w="2045"/>
          </w:tcPr>
          <w:p>
            <w:r>
              <w:t>-0.88</w:t>
            </w:r>
          </w:p>
        </w:tc>
        <w:tc>
          <w:tcPr>
            <w:tcW w:type="dxa" w:w="2045"/>
          </w:tcPr>
          <w:p>
            <w:r>
              <w:t>Yes</w:t>
            </w:r>
          </w:p>
        </w:tc>
      </w:tr>
      <w:tr>
        <w:tc>
          <w:tcPr>
            <w:tcW w:type="dxa" w:w="2045"/>
          </w:tcPr>
          <w:p>
            <w:r>
              <w:t>5</w:t>
            </w:r>
          </w:p>
        </w:tc>
        <w:tc>
          <w:tcPr>
            <w:tcW w:type="dxa" w:w="2045"/>
          </w:tcPr>
          <w:p>
            <w:r>
              <w:t>0.4110</w:t>
            </w:r>
          </w:p>
        </w:tc>
        <w:tc>
          <w:tcPr>
            <w:tcW w:type="dxa" w:w="2045"/>
          </w:tcPr>
          <w:p>
            <w:r>
              <w:t>0.6009</w:t>
            </w:r>
          </w:p>
        </w:tc>
        <w:tc>
          <w:tcPr>
            <w:tcW w:type="dxa" w:w="2045"/>
          </w:tcPr>
          <w:p>
            <w:r>
              <w:t>-0.82</w:t>
            </w:r>
          </w:p>
        </w:tc>
        <w:tc>
          <w:tcPr>
            <w:tcW w:type="dxa" w:w="2045"/>
          </w:tcPr>
          <w:p>
            <w:r>
              <w:t>No</w:t>
            </w:r>
          </w:p>
        </w:tc>
      </w:tr>
      <w:tr>
        <w:tc>
          <w:tcPr>
            <w:tcW w:type="dxa" w:w="2045"/>
          </w:tcPr>
          <w:p>
            <w:r>
              <w:t>6</w:t>
            </w:r>
          </w:p>
        </w:tc>
        <w:tc>
          <w:tcPr>
            <w:tcW w:type="dxa" w:w="2045"/>
          </w:tcPr>
          <w:p>
            <w:r>
              <w:t>0.6093</w:t>
            </w:r>
          </w:p>
        </w:tc>
        <w:tc>
          <w:tcPr>
            <w:tcW w:type="dxa" w:w="2045"/>
          </w:tcPr>
          <w:p>
            <w:r>
              <w:t>0.8907</w:t>
            </w:r>
          </w:p>
        </w:tc>
        <w:tc>
          <w:tcPr>
            <w:tcW w:type="dxa" w:w="2045"/>
          </w:tcPr>
          <w:p>
            <w:r>
              <w:t>-1.04</w:t>
            </w:r>
          </w:p>
        </w:tc>
        <w:tc>
          <w:tcPr>
            <w:tcW w:type="dxa" w:w="2045"/>
          </w:tcPr>
          <w:p>
            <w:r>
              <w:t>Yes</w:t>
            </w:r>
          </w:p>
        </w:tc>
      </w:tr>
      <w:tr>
        <w:tc>
          <w:tcPr>
            <w:tcW w:type="dxa" w:w="2045"/>
          </w:tcPr>
          <w:p>
            <w:r>
              <w:t>7</w:t>
            </w:r>
          </w:p>
        </w:tc>
        <w:tc>
          <w:tcPr>
            <w:tcW w:type="dxa" w:w="2045"/>
          </w:tcPr>
          <w:p>
            <w:r>
              <w:t>0.1596</w:t>
            </w:r>
          </w:p>
        </w:tc>
        <w:tc>
          <w:tcPr>
            <w:tcW w:type="dxa" w:w="2045"/>
          </w:tcPr>
          <w:p>
            <w:r>
              <w:t>0.8000</w:t>
            </w:r>
          </w:p>
        </w:tc>
        <w:tc>
          <w:tcPr>
            <w:tcW w:type="dxa" w:w="2045"/>
          </w:tcPr>
          <w:p>
            <w:r>
              <w:t>-0.78</w:t>
            </w:r>
          </w:p>
        </w:tc>
        <w:tc>
          <w:tcPr>
            <w:tcW w:type="dxa" w:w="2045"/>
          </w:tcPr>
          <w:p>
            <w:r>
              <w:t>No</w:t>
            </w:r>
          </w:p>
        </w:tc>
      </w:tr>
      <w:tr>
        <w:tc>
          <w:tcPr>
            <w:tcW w:type="dxa" w:w="2045"/>
          </w:tcPr>
          <w:p>
            <w:r>
              <w:t>8</w:t>
            </w:r>
          </w:p>
        </w:tc>
        <w:tc>
          <w:tcPr>
            <w:tcW w:type="dxa" w:w="2045"/>
          </w:tcPr>
          <w:p>
            <w:r>
              <w:t>0.2494</w:t>
            </w:r>
          </w:p>
        </w:tc>
        <w:tc>
          <w:tcPr>
            <w:tcW w:type="dxa" w:w="2045"/>
          </w:tcPr>
          <w:p>
            <w:r>
              <w:t>1.2506</w:t>
            </w:r>
          </w:p>
        </w:tc>
        <w:tc>
          <w:tcPr>
            <w:tcW w:type="dxa" w:w="2045"/>
          </w:tcPr>
          <w:p>
            <w:r>
              <w:t>-1.00</w:t>
            </w:r>
          </w:p>
        </w:tc>
        <w:tc>
          <w:tcPr>
            <w:tcW w:type="dxa" w:w="2045"/>
          </w:tcPr>
          <w:p>
            <w:r>
              <w:t>Yes</w:t>
            </w:r>
          </w:p>
        </w:tc>
      </w:tr>
      <w:tr>
        <w:tc>
          <w:tcPr>
            <w:tcW w:type="dxa" w:w="2045"/>
          </w:tcPr>
          <w:p>
            <w:r>
              <w:t>9</w:t>
            </w:r>
          </w:p>
        </w:tc>
        <w:tc>
          <w:tcPr>
            <w:tcW w:type="dxa" w:w="2045"/>
          </w:tcPr>
          <w:p>
            <w:r>
              <w:t>0.0000</w:t>
            </w:r>
          </w:p>
        </w:tc>
        <w:tc>
          <w:tcPr>
            <w:tcW w:type="dxa" w:w="2045"/>
          </w:tcPr>
          <w:p>
            <w:r>
              <w:t>0.0000</w:t>
            </w:r>
          </w:p>
        </w:tc>
        <w:tc>
          <w:tcPr>
            <w:tcW w:type="dxa" w:w="2045"/>
          </w:tcPr>
          <w:p>
            <w:r>
              <w:t>-0.26</w:t>
            </w:r>
          </w:p>
        </w:tc>
        <w:tc>
          <w:tcPr>
            <w:tcW w:type="dxa" w:w="2045"/>
          </w:tcPr>
          <w:p>
            <w:r>
              <w:t>Yes</w:t>
            </w:r>
          </w:p>
        </w:tc>
      </w:tr>
    </w:tbl>
    <w:p>
      <w:pPr>
        <w:pStyle w:val="Heading1"/>
      </w:pPr>
      <w:r>
        <w:t>Preference probes</w:t>
      </w:r>
    </w:p>
    <w:p>
      <w:pPr>
        <w:pStyle w:val="ListBullet"/>
      </w:pPr>
      <w:r>
        <w:t>Ore-1 priority: weights [0.7, 0.2, 0.1] selected mine1, return [1.2506, 0.2494, -1.00].</w:t>
      </w:r>
    </w:p>
    <w:p>
      <w:pPr>
        <w:pStyle w:val="ListBullet"/>
      </w:pPr>
      <w:r>
        <w:t>Balanced ore priority: weights [0.45, 0.45, 0.1] selected mine3, return [0.7500, 0.7500, -0.88].</w:t>
      </w:r>
    </w:p>
    <w:p>
      <w:pPr>
        <w:pStyle w:val="ListBullet"/>
      </w:pPr>
      <w:r>
        <w:t>Ore-2 priority: weights [0.2, 0.7, 0.1] selected mine5, return [0.2494, 1.2506, -1.00].</w:t>
      </w:r>
    </w:p>
    <w:p>
      <w:pPr>
        <w:pStyle w:val="ListBullet"/>
      </w:pPr>
      <w:r>
        <w:t>Fuel-sensitive balanced: weights [0.3, 0.3, 0.4] selected mine3, return [0.7500, 0.7500, -0.88].</w:t>
      </w:r>
    </w:p>
    <w:p>
      <w:pPr>
        <w:pStyle w:val="ListBullet"/>
      </w:pPr>
      <w:r>
        <w:t>Fuel-dominant: weights [0.1, 0.1, 0.8] selected virtual_empty, return [0.0000, 0.0000, -0.26].</w:t>
      </w:r>
    </w:p>
    <w:p>
      <w:pPr>
        <w:pStyle w:val="Heading1"/>
      </w:pPr>
      <w:r>
        <w:t>Adequacy-threshold test</w:t>
      </w:r>
    </w:p>
    <w:p>
      <w:r>
        <w:t>The strongest result is not merely that the Pareto front is non-convex. Four explicit threshold cases each produced exactly one adequate candidate among all 154 source-derived candidates. Three of those cases intentionally select unsupported Pareto policies.</w:t>
      </w:r>
    </w:p>
    <w:p>
      <w:pPr>
        <w:pStyle w:val="ListBullet"/>
      </w:pPr>
      <w:r>
        <w:t>Require ore 1 &gt;= 0.75, ore 2 &gt;= 0.15, fuel reward &gt;= -0.80: unique adequate result [0.8000, 0.1596, -0.78]. This point is Pareto-efficient but unsupported by every nonnegative linear weighted sum.</w:t>
      </w:r>
    </w:p>
    <w:p>
      <w:pPr>
        <w:pStyle w:val="ListBullet"/>
      </w:pPr>
      <w:r>
        <w:t>Require ore 1 &gt;= 0.55, ore 2 &gt;= 0.40, fuel reward &gt;= -0.84: unique adequate result [0.6009, 0.4110, -0.82]. Also unsupported by every such weighted sum.</w:t>
      </w:r>
    </w:p>
    <w:p>
      <w:pPr>
        <w:pStyle w:val="ListBullet"/>
      </w:pPr>
      <w:r>
        <w:t>Require ore 1 &gt;= 0.15, ore 2 &gt;= 0.75, fuel reward &gt;= -0.80: unique adequate result [0.1596, 0.8000, -0.78]. Also unsupported.</w:t>
      </w:r>
    </w:p>
    <w:p>
      <w:pPr>
        <w:pStyle w:val="ListBullet"/>
      </w:pPr>
      <w:r>
        <w:t>Require ore 1 &gt;= 0.70, ore 2 &gt;= 0.70, fuel reward &gt;= -0.90: unique adequate result [0.7500, 0.7500, -0.88]. This one is linearly supported, providing a useful control.</w:t>
      </w:r>
    </w:p>
    <w:p>
      <w:pPr>
        <w:pStyle w:val="Heading1"/>
      </w:pPr>
      <w:r>
        <w:t>PV-PP interpretation</w:t>
      </w:r>
    </w:p>
    <w:p>
      <w:r>
        <w:t>PV-PP does not need to collapse ore 1, ore 2, and fuel into one permanent exchange rate before testing whether a policy is adequate. If the decision requires minimum productive outputs while staying inside a fuel budget, the adequacy stage can retain the threshold structure and admit the unique policy that satisfies it. In three frozen cases, that policy cannot be obtained by maximizing any nonnegative linear weighted sum of the raw Minecart reward dimensions.</w:t>
      </w:r>
    </w:p>
    <w:p>
      <w:pPr>
        <w:pStyle w:val="Heading1"/>
      </w:pPr>
      <w:r>
        <w:t>What this does and does not establish</w:t>
      </w:r>
    </w:p>
    <w:p>
      <w:pPr>
        <w:pStyle w:val="ListBullet"/>
      </w:pPr>
      <w:r>
        <w:t>It demonstrates a public benchmark instance where standard linear scalarization does not recover the entire Pareto-efficient policy set.</w:t>
      </w:r>
    </w:p>
    <w:p>
      <w:pPr>
        <w:pStyle w:val="ListBullet"/>
      </w:pPr>
      <w:r>
        <w:t>It demonstrates that explicit threshold/adequacy structure can make an unsupported Pareto policy decision-relevant.</w:t>
      </w:r>
    </w:p>
    <w:p>
      <w:pPr>
        <w:pStyle w:val="ListBullet"/>
      </w:pPr>
      <w:r>
        <w:t>It does not prove that no nonlinear scalar function could encode the same thresholds.</w:t>
      </w:r>
    </w:p>
    <w:p>
      <w:pPr>
        <w:pStyle w:val="ListBullet"/>
      </w:pPr>
      <w:r>
        <w:t>It does not establish that PV-PP is superior to all multi-objective RL methods; MORL methods are specifically designed to retain Pareto structure.</w:t>
      </w:r>
    </w:p>
    <w:p>
      <w:pPr>
        <w:pStyle w:val="ListBullet"/>
      </w:pPr>
      <w:r>
        <w:t>It does not require any change to the frozen PV-PP architecture.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