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MO-05 Resource Gathering Result v1.0</w:t>
      </w:r>
    </w:p>
    <w:p>
      <w:r>
        <w:t>PV-PP MO-Gymnasium Complete-Suite Coverage Program | August 2026</w:t>
      </w:r>
    </w:p>
    <w:p>
      <w:pPr>
        <w:pStyle w:val="Heading1"/>
      </w:pPr>
      <w:r>
        <w:t>Coverage</w:t>
      </w:r>
    </w:p>
    <w:p>
      <w:r>
        <w:t>Environment: resource-gathering-v0. The current public source defines a 5×5 grid with home at [4,2], gold at [0,2], gem at [1,4], enemies at [1,2] and [0,3], and four movement actions. Entering an enemy cell carries a 10% attack probability.</w:t>
      </w:r>
    </w:p>
    <w:p>
      <w:pPr>
        <w:pStyle w:val="Heading1"/>
      </w:pPr>
      <w:r>
        <w:t>Reward and episode structure</w:t>
      </w:r>
    </w:p>
    <w:p>
      <w:r>
        <w:t>The reward vector is [enemy loss, gold, gem]. A successful attack returns [-1,0,0] and terminates the episode. If the agent returns home carrying resources, the terminal reward is [0,gold,gem]. Gold and gem can each be collected once per trip.</w:t>
      </w:r>
    </w:p>
    <w:p>
      <w:pPr>
        <w:pStyle w:val="Heading1"/>
      </w:pPr>
      <w:r>
        <w:t>Source-defined Pareto front</w:t>
      </w:r>
    </w:p>
    <w:p>
      <w:r>
        <w:t>The environment source exposes the Pareto front for gamma=1 as five vectors: [-1,0,0], [0,0,0], [0,0,1], [0,1,0], and [0,1,1].</w:t>
      </w:r>
    </w:p>
    <w:p>
      <w:pPr>
        <w:pStyle w:val="Heading1"/>
      </w:pPr>
      <w:r>
        <w:t>Structural tests</w:t>
      </w:r>
    </w:p>
    <w:p>
      <w:pPr>
        <w:pStyle w:val="ListBullet"/>
      </w:pPr>
      <w:r>
        <w:t>Resource monotonicity: [0,1,1] Pareto-dominates the gold-only, gem-only, and no-resource successful-return outcomes when enemy loss is held at zero.</w:t>
      </w:r>
    </w:p>
    <w:p>
      <w:pPr>
        <w:pStyle w:val="ListBullet"/>
      </w:pPr>
      <w:r>
        <w:t>Scalar containment: ordinary positive resource weights select the both-resources outcome. Resource Gathering therefore does not provide a linear-scalar non-recovery result.</w:t>
      </w:r>
    </w:p>
    <w:p>
      <w:pPr>
        <w:pStyle w:val="ListBullet"/>
      </w:pPr>
      <w:r>
        <w:t>Typed consequence distinction: a successful enemy attack is a terminal transition that prevents carried-resource realization for that episode; PV-PP can preserve that branch separately from productive return.</w:t>
      </w:r>
    </w:p>
    <w:p>
      <w:pPr>
        <w:pStyle w:val="ListBullet"/>
      </w:pPr>
      <w:r>
        <w:t>Risk/projection distinction: the 10% attack probability belongs in projected consequence structure. It need not be collapsed into the two productive-resource dimensions before the decision is represented.</w:t>
      </w:r>
    </w:p>
    <w:p>
      <w:pPr>
        <w:pStyle w:val="ListBullet"/>
      </w:pPr>
      <w:r>
        <w:t>Task adequacy probe: under the explicit requirement 'return home alive carrying both resources,' only [0,1,1] is adequate. Death, empty return, and single-resource returns are inadequate.</w:t>
      </w:r>
    </w:p>
    <w:p>
      <w:pPr>
        <w:pStyle w:val="Heading1"/>
      </w:pPr>
      <w:r>
        <w:t>PV-PP disposition</w:t>
      </w:r>
    </w:p>
    <w:p>
      <w:pPr>
        <w:pStyle w:val="ListBullet"/>
      </w:pPr>
      <w:r>
        <w:t>Primary class: A — adequacy/typed-consequence distinction.</w:t>
      </w:r>
    </w:p>
    <w:p>
      <w:pPr>
        <w:pStyle w:val="ListBullet"/>
      </w:pPr>
      <w:r>
        <w:t>Secondary class: C — scalar containment for the productive resource objective.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p>
      <w:pPr>
        <w:pStyle w:val="ListBullet"/>
      </w:pPr>
      <w:r>
        <w:t>Final regression: 10 passed, 0 failed.</w:t>
      </w:r>
    </w:p>
    <w:p>
      <w:pPr>
        <w:pStyle w:val="Heading1"/>
      </w:pPr>
      <w:r>
        <w:t>Claim boundary</w:t>
      </w:r>
    </w:p>
    <w:p>
      <w:r>
        <w:t>This is a source-faithful mechanism and objective-structure analysis, not a trained reinforcement-learning comparison. The source's returned Pareto set includes the terminal-loss vector; this report does not interpret that inclusion as a claim that death is productively desirable.</w:t>
      </w:r>
    </w:p>
    <w:p>
      <w:pPr>
        <w:pStyle w:val="Heading1"/>
      </w:pPr>
      <w:r>
        <w:t>Public source</w:t>
      </w:r>
    </w:p>
    <w:p>
      <w:r>
        <w:t>Farama-Foundation/MO-Gymnasium: mo_gymnasium/envs/resource_gathering/resource_gathering.py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