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MO-06 Fishwood Closeout v1.0</w:t>
      </w:r>
    </w:p>
    <w:p>
      <w:r>
        <w:t>PV-PP MO-Gymnasium Complete-Suite Coverage Program | August 2026</w:t>
      </w:r>
    </w:p>
    <w:p>
      <w:pPr>
        <w:pStyle w:val="Heading1"/>
      </w:pPr>
      <w:r>
        <w:t>Disposition</w:t>
      </w:r>
    </w:p>
    <w:p>
      <w:r>
        <w:rPr>
          <w:b/>
        </w:rPr>
        <w:t>CLOSED - FISHWOOD COVERED / PASS.</w:t>
      </w:r>
    </w:p>
    <w:p>
      <w:r>
        <w:t>Fishwood adds a useful control to the complete-suite program. It does not produce a Pareto non-recovery result like Minecart or concave Deep Sea Treasure. Instead it shows a boundary between generic linear scalarization and explicit complementary-resource requirements.</w:t>
      </w:r>
    </w:p>
    <w:p>
      <w:pPr>
        <w:pStyle w:val="Heading1"/>
      </w:pPr>
      <w:r>
        <w:t>Core finding</w:t>
      </w:r>
    </w:p>
    <w:p>
      <w:r>
        <w:t>Under the default 0.1 fish and 0.9 wood probabilities, expected returns lie on a straight tradeoff line. Linear weights select one endpoint except at the exact 9:1 fish-to-wood weight ratio, where every allocation ties. Requiring at least 10 expected fish and 90 expected wood uniquely identifies the 100/100 state allocation. A nonlinear min-normalized scalar also uniquely recovers that same allocation.</w:t>
      </w:r>
    </w:p>
    <w:p>
      <w:pPr>
        <w:pStyle w:val="Heading1"/>
      </w:pPr>
      <w:r>
        <w:t>Why this matters</w:t>
      </w:r>
    </w:p>
    <w:p>
      <w:r>
        <w:t>This result prevents an overbroad PV-PP claim. The issue is not scalar versus vector in the abstract. The issue is whether the mapping preserves the actual decision structure. A linear weighted sum does not uniquely encode the complementary-resource requirement here; an explicit adequacy rule or an appropriately constructed nonlinear scalar does.</w:t>
      </w:r>
    </w:p>
    <w:p>
      <w:pPr>
        <w:pStyle w:val="Heading1"/>
      </w:pPr>
      <w:r>
        <w:t>Coverage ledger</w:t>
      </w:r>
    </w:p>
    <w:p>
      <w:pPr>
        <w:pStyle w:val="ListBullet"/>
      </w:pPr>
      <w:r>
        <w:t>Environment family: Fishwood - complete.</w:t>
      </w:r>
    </w:p>
    <w:p>
      <w:pPr>
        <w:pStyle w:val="ListBullet"/>
      </w:pPr>
      <w:r>
        <w:t>Result: PASS.</w:t>
      </w:r>
    </w:p>
    <w:p>
      <w:pPr>
        <w:pStyle w:val="ListBullet"/>
      </w:pPr>
      <w:r>
        <w:t>Classification: A with C containment control.</w:t>
      </w:r>
    </w:p>
    <w:p>
      <w:pPr>
        <w:pStyle w:val="ListBullet"/>
      </w:pPr>
      <w:r>
        <w:t>Architecture changes: 0.</w:t>
      </w:r>
    </w:p>
    <w:p>
      <w:pPr>
        <w:pStyle w:val="ListBullet"/>
      </w:pPr>
      <w:r>
        <w:t>Final tests: 12/12 passed.</w:t>
      </w:r>
    </w:p>
    <w:p>
      <w:pPr>
        <w:pStyle w:val="ListBullet"/>
      </w:pPr>
      <w:r>
        <w:t>Source discrepancy logged: detailed reward-label bullets reverse the ordering used by executable code and the grid-world summary.</w:t>
      </w:r>
    </w:p>
    <w:p>
      <w:pPr>
        <w:pStyle w:val="Heading1"/>
      </w:pPr>
      <w:r>
        <w:t>Next target</w:t>
      </w:r>
    </w:p>
    <w:p>
      <w:r>
        <w:t>Proceed to Breakable Bottles under the frozen complete-suite sequence.</w:t>
      </w:r>
    </w:p>
    <w:sectPr w:rsidR="00FC693F" w:rsidRPr="0006063C" w:rsidSect="00034616"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