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MO-10 MountainCar Discrete Variants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THREE REMAINING DISCRETE MOUNTAINCAR VARIANTS COVERED / PASS.</w:t>
      </w:r>
    </w:p>
    <w:p>
      <w:r>
        <w:t>The registered discrete MountainCar family is now complete when combined with MO-01. The variants show that changing reward construction can materially alter scalar policy ranking without changing the underlying physical task or requiring a PV-PP architecture modification.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mo-mountaincar-v0 - previously covered by MO-01; source-fidelity threshold correction issued.</w:t>
      </w:r>
    </w:p>
    <w:p>
      <w:pPr>
        <w:pStyle w:val="ListBullet"/>
      </w:pPr>
      <w:r>
        <w:t>mo-mountaincar-3d-v0 - covered.</w:t>
      </w:r>
    </w:p>
    <w:p>
      <w:pPr>
        <w:pStyle w:val="ListBullet"/>
      </w:pPr>
      <w:r>
        <w:t>mo-mountaincar-timemove-v0 - covered.</w:t>
      </w:r>
    </w:p>
    <w:p>
      <w:pPr>
        <w:pStyle w:val="ListBullet"/>
      </w:pPr>
      <w:r>
        <w:t>mo-mountaincar-timespeed-v0 - covered.</w:t>
      </w:r>
    </w:p>
    <w:p>
      <w:pPr>
        <w:pStyle w:val="ListBullet"/>
      </w:pPr>
      <w:r>
        <w:t>MO-10 regression: 13/13 passed.</w:t>
      </w:r>
    </w:p>
    <w:p>
      <w:pPr>
        <w:pStyle w:val="ListBullet"/>
      </w:pPr>
      <w:r>
        <w:t>Architecture changes: 0.</w:t>
      </w:r>
    </w:p>
    <w:p>
      <w:pPr>
        <w:pStyle w:val="Heading1"/>
      </w:pPr>
      <w:r>
        <w:t>Core conclusion</w:t>
      </w:r>
    </w:p>
    <w:p>
      <w:r>
        <w:t>The family does not support a blanket anti-scalar claim. Instead it demonstrates reward-map sensitivity: time+speed supports the reaching policy under equal weights, time+move does not, and time+move+speed is initial-state sensitive. Explicit task adequacy cleanly separates summit completion from scalar preference over movement/speed costs.</w:t>
      </w:r>
    </w:p>
    <w:p>
      <w:pPr>
        <w:pStyle w:val="Heading1"/>
      </w:pPr>
      <w:r>
        <w:t>Next target</w:t>
      </w:r>
    </w:p>
    <w:p>
      <w:r>
        <w:t>Proceed to mo-mountaincarcontinuous-v0, the continuous-action MountainCar registration, before Lunar Lander.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