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MO-11 Continuous MountainCar Result v1.0</w:t>
      </w:r>
    </w:p>
    <w:p>
      <w:r>
        <w:t>PV-PP MO-Gymnasium Complete-Suite Coverage Program | August 2026</w:t>
      </w:r>
    </w:p>
    <w:p>
      <w:pPr>
        <w:pStyle w:val="Heading1"/>
      </w:pPr>
      <w:r>
        <w:t>Execution result</w:t>
      </w:r>
    </w:p>
    <w:p>
      <w:r>
        <w:rPr>
          <w:b/>
        </w:rPr>
        <w:t xml:space="preserve">PASS - continuous-action tradeoff and candidate-family linear non-recovery demonstrated. </w:t>
      </w:r>
      <w:r>
        <w:t>Regression: 13 passed, 0 failed.</w:t>
      </w:r>
    </w:p>
    <w:p>
      <w:pPr>
        <w:pStyle w:val="Heading1"/>
      </w:pPr>
      <w:r>
        <w:t>Candidate-family geometry</w:t>
      </w:r>
    </w:p>
    <w:p>
      <w:r>
        <w:t>Of 101 frozen action magnitudes, 83 reach the summit from all five starts. Within those fully successful candidates, 46 are nondominated in mean completion time versus mean fuel reward.</w:t>
      </w:r>
    </w:p>
    <w:p>
      <w:r>
        <w:t>Only 15 of those 46 nondominated candidate policies are supported by some fixed nonnegative linear weighting of the two reward components. The remaining 31 are unsupported within the frozen candidate set.</w:t>
      </w:r>
    </w:p>
    <w:p>
      <w:pPr>
        <w:pStyle w:val="Heading1"/>
      </w:pPr>
      <w:r>
        <w:t>Concrete tradeoff</w:t>
      </w:r>
    </w:p>
    <w:p>
      <w:r>
        <w:t>At magnitude 0.20, mean completion is 331.2 steps with mean fuel reward -13.248. At magnitude 1.00, completion improves to 78.6 steps but fuel reward falls to -78.600. Coast uses no fuel but fails to reach the summit from every frozen start.</w:t>
      </w:r>
    </w:p>
    <w:p>
      <w:pPr>
        <w:pStyle w:val="Heading1"/>
      </w:pPr>
      <w:r>
        <w:t>Adequacy probe</w:t>
      </w:r>
    </w:p>
    <w:p>
      <w:r>
        <w:t>The controlled requirement mean completion &lt;=180 steps and mean fuel reward &gt;=-29 uniquely retains magnitude 0.40, whose mean result is 179.8 steps and fuel reward -28.768. Magnitude 0.40 is nondominated but unsupported by every fixed nonnegative linear weighting within the frozen candidate family.</w:t>
      </w:r>
    </w:p>
    <w:p>
      <w:pPr>
        <w:pStyle w:val="Heading1"/>
      </w:pPr>
      <w:r>
        <w:t>PV-PP interpretation</w:t>
      </w:r>
    </w:p>
    <w:p>
      <w:r>
        <w:t>This is evidence of a nonconvex tradeoff inside a transparent source-faithful policy family. A fixed linear weighted sum can skip decision-relevant nondominated policies even though the underlying reward vector has only two dimensions. Explicit adequacy can preserve one such policy.</w:t>
      </w:r>
    </w:p>
    <w:p>
      <w:r>
        <w:t>The claim is intentionally narrower than Minecart's source-front result: MO-11 does not establish the environment's global Pareto frontier, nor does it prove that no nonlinear scalar can recover the target policy. It shows only that ordinary fixed linear scalarization is incomplete over this frozen policy family.</w:t>
      </w:r>
    </w:p>
    <w:p>
      <w:pPr>
        <w:pStyle w:val="Heading1"/>
      </w:pPr>
      <w:r>
        <w:t>Disposition</w:t>
      </w:r>
    </w:p>
    <w:p>
      <w:pPr>
        <w:pStyle w:val="ListBullet"/>
      </w:pPr>
      <w:r>
        <w:t>Primary class: P/A - candidate-family Pareto preservation plus adequacy relevance.</w:t>
      </w:r>
    </w:p>
    <w:p>
      <w:pPr>
        <w:pStyle w:val="ListBullet"/>
      </w:pPr>
      <w:r>
        <w:t>Scalar-containment control also present: some nondominated policies are linearly supported.</w:t>
      </w:r>
    </w:p>
    <w:p>
      <w:pPr>
        <w:pStyle w:val="ListBullet"/>
      </w:pPr>
      <w:r>
        <w:t>Canonical architecture change: NONE.</w:t>
      </w:r>
    </w:p>
    <w:p>
      <w:pPr>
        <w:pStyle w:val="ListBullet"/>
      </w:pPr>
      <w:r>
        <w:t>Formalization gap: NONE.</w:t>
      </w:r>
    </w:p>
    <w:p>
      <w:pPr>
        <w:pStyle w:val="ListBullet"/>
      </w:pPr>
      <w:r>
        <w:t>Architecture failure: NONE.</w:t>
      </w:r>
    </w:p>
    <w:sectPr w:rsidR="00FC693F" w:rsidRPr="0006063C" w:rsidSect="00034616">
      <w:pgSz w:w="12240" w:h="15840"/>
      <w:pgMar w:top="749" w:right="950" w:bottom="749"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