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MO-13 Minecart Variant Reconciliation Closeout v1.0</w:t>
      </w:r>
    </w:p>
    <w:p>
      <w:r>
        <w:t>PV-PP MO-Gymnasium Complete-Suite Coverage Program | Miscellaneous Phase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— ALL CURRENT MINECART REGISTRATIONS COVERED.</w:t>
      </w:r>
    </w:p>
    <w:p>
      <w:r>
        <w:t>The current source registers exactly three Minecart IDs. MO-02 already covered minecart-v0. The RGB registration changes observation representation only and is equivalence-covered. The deterministic registration materially changes ore stochasticity and was executed separately.</w:t>
      </w:r>
    </w:p>
    <w:p>
      <w:pPr>
        <w:pStyle w:val="Heading1"/>
      </w:pPr>
      <w:r>
        <w:t>Deterministic finding</w:t>
      </w:r>
    </w:p>
    <w:p>
      <w:r>
        <w:t>The deterministic variant produced 10 unique Pareto-efficient return vectors: 6 linearly supported and 4 unsupported under nonnegative linear weighting. The qualitative MO-02 finding therefore survives removal of stochastic ore variance.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minecart-v0 — covered.</w:t>
      </w:r>
    </w:p>
    <w:p>
      <w:pPr>
        <w:pStyle w:val="ListBullet"/>
      </w:pPr>
      <w:r>
        <w:t>minecart-rgb-v0 — covered by exact mechanism/reward equivalence.</w:t>
      </w:r>
    </w:p>
    <w:p>
      <w:pPr>
        <w:pStyle w:val="ListBullet"/>
      </w:pPr>
      <w:r>
        <w:t>minecart-deterministic-v0 — executed and covered.</w:t>
      </w:r>
    </w:p>
    <w:p>
      <w:pPr>
        <w:pStyle w:val="ListBullet"/>
      </w:pPr>
      <w:r>
        <w:t>Result: PASS.</w:t>
      </w:r>
    </w:p>
    <w:p>
      <w:pPr>
        <w:pStyle w:val="ListBullet"/>
      </w:pPr>
      <w:r>
        <w:t>Architecture changes: 0.</w:t>
      </w:r>
    </w:p>
    <w:p>
      <w:pPr>
        <w:pStyle w:val="ListBullet"/>
      </w:pPr>
      <w:r>
        <w:t>Final tests: 12/12 passed.</w:t>
      </w:r>
    </w:p>
    <w:p>
      <w:pPr>
        <w:pStyle w:val="Heading1"/>
      </w:pPr>
      <w:r>
        <w:t>Next target</w:t>
      </w:r>
    </w:p>
    <w:p>
      <w:r>
        <w:t>Proceed to Highway under the frozen Miscellaneous sequence.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