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MO-16.5 Ant Result v1.0</w:t>
      </w:r>
    </w:p>
    <w:p>
      <w:r>
        <w:t>PV-PP MO-Gymnasium Complete-Suite Coverage Program | MuJoCo Phase | August 2026</w:t>
      </w:r>
    </w:p>
    <w:p>
      <w:pPr>
        <w:pStyle w:val="Heading1"/>
      </w:pPr>
      <w:r>
        <w:t>Disposition</w:t>
      </w:r>
    </w:p>
    <w:p>
      <w:r>
        <w:rPr>
          <w:b/>
        </w:rPr>
        <w:t xml:space="preserve">CLOSED / PASS. </w:t>
      </w:r>
      <w:r>
        <w:t>P/C - directional preservation plus folded-cost containment.</w:t>
      </w:r>
    </w:p>
    <w:p>
      <w:pPr>
        <w:pStyle w:val="Heading1"/>
      </w:pPr>
      <w:r>
        <w:t>Current registration coverage</w:t>
      </w:r>
    </w:p>
    <w:p>
      <w:pPr>
        <w:pStyle w:val="ListBullet"/>
      </w:pPr>
      <w:r>
        <w:t>mo-ant-v5 - covered at current source/documentation mechanism level.</w:t>
      </w:r>
    </w:p>
    <w:p>
      <w:pPr>
        <w:pStyle w:val="ListBullet"/>
      </w:pPr>
      <w:r>
        <w:t>mo-ant-2obj-v5 - covered at current source/documentation mechanism level.</w:t>
      </w:r>
    </w:p>
    <w:p>
      <w:pPr>
        <w:pStyle w:val="Heading1"/>
      </w:pPr>
      <w:r>
        <w:t>Finding</w:t>
      </w:r>
    </w:p>
    <w:p>
      <w:r>
        <w:t>The three-objective form exposes x velocity, y velocity, and control cost. Directional objectives make the desired heading a framing choice rather than a universal scalar fact. The 2-objective registration folds cost/shared terms into the directional objectives. Existing PV-PP Domain Framing and multidomain selection are sufficient.</w:t>
      </w:r>
    </w:p>
    <w:p>
      <w:pPr>
        <w:pStyle w:val="Heading1"/>
      </w:pPr>
      <w:r>
        <w:t>PV-PP architecture result</w:t>
      </w:r>
    </w:p>
    <w:p>
      <w:r>
        <w:t>The frozen PV-PP architecture can represent the relevant objective structure using existing Domain Framing, projected multidomain consequences, Constraints/Adequacy where applicable, and deterministic selection. No new operator is warranted by this family.</w:t>
      </w:r>
    </w:p>
    <w:p>
      <w:pPr>
        <w:pStyle w:val="Heading1"/>
      </w:pPr>
      <w:r>
        <w:t>Boundary</w:t>
      </w:r>
    </w:p>
    <w:p>
      <w:r>
        <w:t>The current Ant documentation contains a stale-looking v4 identifier in its scalarization example; this audit follows current v5 registration names and does not silently repair that example. Gymnasium, MuJoCo, and MO-Gymnasium are not installed in the execution container.</w:t>
      </w:r>
    </w:p>
    <w:p>
      <w:pPr>
        <w:pStyle w:val="Heading1"/>
      </w:pPr>
      <w:r>
        <w:t>Status</w:t>
      </w:r>
    </w:p>
    <w:p>
      <w:pPr>
        <w:pStyle w:val="ListBullet"/>
      </w:pPr>
      <w:r>
        <w:t>Canonical architecture change: NONE.</w:t>
      </w:r>
    </w:p>
    <w:p>
      <w:pPr>
        <w:pStyle w:val="ListBullet"/>
      </w:pPr>
      <w:r>
        <w:t>Formalization gap: NONE.</w:t>
      </w:r>
    </w:p>
    <w:p>
      <w:pPr>
        <w:pStyle w:val="ListBullet"/>
      </w:pPr>
      <w:r>
        <w:t>Architecture failure: NONE.</w:t>
      </w:r>
    </w:p>
    <w:sectPr w:rsidR="00FC693F" w:rsidRPr="0006063C" w:rsidSect="00034616">
      <w:pgSz w:w="12240" w:h="15840"/>
      <w:pgMar w:top="691" w:right="893" w:bottom="691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/>
    </w:pPr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