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RWB Exploratory Three-Case Assessment</w:t>
      </w:r>
    </w:p>
    <w:p>
      <w:pPr>
        <w:jc w:val="center"/>
      </w:pPr>
      <w:r>
        <w:rPr>
          <w:b/>
        </w:rPr>
        <w:t>RWB-001 through RWB-003 | Expansion Decision Record | August 2026</w:t>
      </w:r>
    </w:p>
    <w:p>
      <w:pPr>
        <w:pStyle w:val="Heading1"/>
      </w:pPr>
      <w:r>
        <w:t>1. Decision</w:t>
      </w:r>
    </w:p>
    <w:p>
      <w:r>
        <w:t>The three-case Real-World Benchmark (RWB) exploratory program is COMPLETE. It produced genuinely new evidence relative to the internal simulation program and the two standardized public benchmark suites. However, the evidence does not justify automatic expansion to all 19 problems in the RealWorldBenchmarks repository.</w:t>
      </w:r>
    </w:p>
    <w:p>
      <w:r>
        <w:t>Recommended disposition: FREEZE the three completed cases as the first real-world benchmark tranche. Do not begin a full-suite campaign. Any additional real-world benchmark should be admitted individually because it tests a structural question not already well covered by RWB-001 through RWB-003.</w:t>
      </w:r>
    </w:p>
    <w:p>
      <w:pPr>
        <w:pStyle w:val="Heading1"/>
      </w:pPr>
      <w:r>
        <w:t>2. What the Three Cases Added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Case</w:t>
            </w:r>
          </w:p>
        </w:tc>
        <w:tc>
          <w:tcPr>
            <w:tcW w:type="dxa" w:w="2520"/>
          </w:tcPr>
          <w:p>
            <w:r>
              <w:t>External structure</w:t>
            </w:r>
          </w:p>
        </w:tc>
        <w:tc>
          <w:tcPr>
            <w:tcW w:type="dxa" w:w="2520"/>
          </w:tcPr>
          <w:p>
            <w:r>
              <w:t>Primary evidence</w:t>
            </w:r>
          </w:p>
        </w:tc>
        <w:tc>
          <w:tcPr>
            <w:tcW w:type="dxa" w:w="2520"/>
          </w:tcPr>
          <w:p>
            <w:r>
              <w:t>Architecture result</w:t>
            </w:r>
          </w:p>
        </w:tc>
      </w:tr>
      <w:tr>
        <w:tc>
          <w:tcPr>
            <w:tcW w:type="dxa" w:w="2520"/>
          </w:tcPr>
          <w:p>
            <w:r>
              <w:t>RWB-001 LRGV</w:t>
            </w:r>
          </w:p>
        </w:tc>
        <w:tc>
          <w:tcPr>
            <w:tcW w:type="dxa" w:w="2520"/>
          </w:tcPr>
          <w:p>
            <w:r>
              <w:t>Uncertain water-supply portfolio; rights, options, leases; Monte Carlo; hard constraints</w:t>
            </w:r>
          </w:p>
        </w:tc>
        <w:tc>
          <w:tcPr>
            <w:tcW w:type="dxa" w:w="2520"/>
          </w:tcPr>
          <w:p>
            <w:r>
              <w:t>Adequacy before preference; multidimensional preservation; conditional scalar containment</w:t>
            </w:r>
          </w:p>
        </w:tc>
        <w:tc>
          <w:tcPr>
            <w:tcW w:type="dxa" w:w="2520"/>
          </w:tcPr>
          <w:p>
            <w:r>
              <w:t>No new primitive</w:t>
            </w:r>
          </w:p>
        </w:tc>
      </w:tr>
      <w:tr>
        <w:tc>
          <w:tcPr>
            <w:tcW w:type="dxa" w:w="2520"/>
          </w:tcPr>
          <w:p>
            <w:r>
              <w:t>RWB-002 Lake</w:t>
            </w:r>
          </w:p>
        </w:tc>
        <w:tc>
          <w:tcPr>
            <w:tcW w:type="dxa" w:w="2520"/>
          </w:tcPr>
          <w:p>
            <w:r>
              <w:t>100-step persistent nonlinear environmental state; ecological threshold; stochastic inflow; reliability floor</w:t>
            </w:r>
          </w:p>
        </w:tc>
        <w:tc>
          <w:tcPr>
            <w:tcW w:type="dxa" w:w="2520"/>
          </w:tcPr>
          <w:p>
            <w:r>
              <w:t>Threshold-sensitive adequacy; temporal state persistence; multidimensional preservation</w:t>
            </w:r>
          </w:p>
        </w:tc>
        <w:tc>
          <w:tcPr>
            <w:tcW w:type="dxa" w:w="2520"/>
          </w:tcPr>
          <w:p>
            <w:r>
              <w:t>No new primitive</w:t>
            </w:r>
          </w:p>
        </w:tc>
      </w:tr>
      <w:tr>
        <w:tc>
          <w:tcPr>
            <w:tcW w:type="dxa" w:w="2520"/>
          </w:tcPr>
          <w:p>
            <w:r>
              <w:t>RWB-003 GAA</w:t>
            </w:r>
          </w:p>
        </w:tc>
        <w:tc>
          <w:tcPr>
            <w:tcW w:type="dxa" w:w="2520"/>
          </w:tcPr>
          <w:p>
            <w:r>
              <w:t>Three coupled aircraft; 27 design variables; 10 objectives; product-family commonality; 18 underlying requirements</w:t>
            </w:r>
          </w:p>
        </w:tc>
        <w:tc>
          <w:tcPr>
            <w:tcW w:type="dxa" w:w="2520"/>
          </w:tcPr>
          <w:p>
            <w:r>
              <w:t>Many-objective preservation; cross-entity coupling; exact safe scalar containment for feasibility</w:t>
            </w:r>
          </w:p>
        </w:tc>
        <w:tc>
          <w:tcPr>
            <w:tcW w:type="dxa" w:w="2520"/>
          </w:tcPr>
          <w:p>
            <w:r>
              <w:t>No new primitive</w:t>
            </w:r>
          </w:p>
        </w:tc>
      </w:tr>
    </w:tbl>
    <w:p>
      <w:r>
        <w:t>The important addition is not merely that all three cases passed. These are independently defined applied models whose source code contains domain mechanisms that PV-PP did not design: water-market instruments, ecological state equations, aircraft response surfaces, family commonality penalties, and externally imposed engineering or reliability limits.</w:t>
      </w:r>
    </w:p>
    <w:p>
      <w:pPr>
        <w:pStyle w:val="Heading1"/>
      </w:pPr>
      <w:r>
        <w:t>3. Evidence That Is Genuinely New</w:t>
      </w:r>
    </w:p>
    <w:p>
      <w:r>
        <w:t>First, the program moved beyond formal toy environments into decisions whose state, objectives, constraints, and consequence models come from real applied research. This tests whether PV-PP can preserve an external problem rather than merely solve a problem written in its own vocabulary.</w:t>
      </w:r>
    </w:p>
    <w:p>
      <w:r>
        <w:t>Second, the three cases independently reproduced a distinction central to the current architecture: adequacy is not the same operation as compensatory preference. In RWB-001 and RWB-002, attractive cost or benefit outcomes could coexist with failed externally defined reliability constraints. In RWB-003, the feasibility scalar was itself proven safe because it was a zero-test over a sum of nonnegative component violations.</w:t>
      </w:r>
    </w:p>
    <w:p>
      <w:r>
        <w:t>Third, the program supplied positive evidence for both sides of the scalar-reduction position. RWB-003 contains a source-defined scalar that is exactly adequate for the binary feasibility question, while all three cases retain objective structures for which no universal premature reduction is warranted.</w:t>
      </w:r>
    </w:p>
    <w:p>
      <w:pPr>
        <w:pStyle w:val="Heading1"/>
      </w:pPr>
      <w:r>
        <w:t>4. What the Program Did Not Establish</w:t>
      </w:r>
    </w:p>
    <w:p>
      <w:pPr>
        <w:pStyle w:val="ListBullet"/>
      </w:pPr>
      <w:r>
        <w:t>It did not prove that PV-PP is an optimal search or learning algorithm.</w:t>
      </w:r>
    </w:p>
    <w:p>
      <w:pPr>
        <w:pStyle w:val="ListBullet"/>
      </w:pPr>
      <w:r>
        <w:t>It did not establish superiority over MOEAs, control methods, operations research, or domain-specific optimization.</w:t>
      </w:r>
    </w:p>
    <w:p>
      <w:pPr>
        <w:pStyle w:val="ListBullet"/>
      </w:pPr>
      <w:r>
        <w:t>It did not prove that all real-world decisions can be represented without additional PV-PP formalization.</w:t>
      </w:r>
    </w:p>
    <w:p>
      <w:pPr>
        <w:pStyle w:val="ListBullet"/>
      </w:pPr>
      <w:r>
        <w:t>It did not reconstruct global Pareto frontiers for the three problems.</w:t>
      </w:r>
    </w:p>
    <w:p>
      <w:pPr>
        <w:pStyle w:val="ListBullet"/>
      </w:pPr>
      <w:r>
        <w:t>It did not justify treating every benchmark objective as a canonical PV-PP domain.</w:t>
      </w:r>
    </w:p>
    <w:p>
      <w:pPr>
        <w:pStyle w:val="Heading1"/>
      </w:pPr>
      <w:r>
        <w:t>5. Benchmark-Side Findings</w:t>
      </w:r>
    </w:p>
    <w:p>
      <w:r>
        <w:t>The source-locked work also demonstrated a useful property of the testing program: it can discover defects in the benchmarks rather than silently adapting to them. RWB-001 exposed a Java-wrapper mode mismatch affecting drought metrics. RWB-002 exposed time-based reseeding that compromises the intended independence of its Monte Carlo scenarios. RWB-003 showed no comparable implementation defect in the executed equations and matched the repository's own reference tests.</w:t>
      </w:r>
    </w:p>
    <w:p>
      <w:r>
        <w:t>These findings strengthen the methodological case for source-locked execution and for separating benchmark defects, fixture errors, search failures, policy failures, formalization gaps, and genuine architecture failures.</w:t>
      </w:r>
    </w:p>
    <w:p>
      <w:pPr>
        <w:pStyle w:val="Heading1"/>
      </w:pPr>
      <w:r>
        <w:t>6. Marginal Value of Expanding to All 19</w:t>
      </w:r>
    </w:p>
    <w:p>
      <w:r>
        <w:t>A full sweep of the remaining repository problems would now have lower expected architectural value. The three selected cases already cover constrained portfolio choice under uncertainty, persistent nonlinear state with threshold failure, and coupled many-objective engineering design. Running another problem simply because it exists would risk turning the benchmark program into a volume exercise.</w:t>
      </w:r>
    </w:p>
    <w:p>
      <w:r>
        <w:t>The remaining problems may still be useful, but only if one is selected to pressure a presently weak or unresolved capability. Examples would include a case with materially different uncertainty representation, a hard discrete/continuous systems-design coupling, or a structure that directly bears on the outstanding mixed/randomized-policy formalization boundary. Selection should precede execution.</w:t>
      </w:r>
    </w:p>
    <w:p>
      <w:pPr>
        <w:pStyle w:val="Heading1"/>
      </w:pPr>
      <w:r>
        <w:t>7. Recommended Program Status</w:t>
      </w:r>
    </w:p>
    <w:p>
      <w:r>
        <w:t>RWB EXPLORATORY TRANCHE: COMPLETE / FREEZE.</w:t>
      </w:r>
    </w:p>
    <w:p>
      <w:r>
        <w:t>RWB-001: CLOSED / PASS.</w:t>
      </w:r>
    </w:p>
    <w:p>
      <w:r>
        <w:t>RWB-002: CLOSED / PASS.</w:t>
      </w:r>
    </w:p>
    <w:p>
      <w:r>
        <w:t>RWB-003: CLOSED / PASS.</w:t>
      </w:r>
    </w:p>
    <w:p>
      <w:r>
        <w:t>CANONICAL PV-PP ARCHITECTURE CHANGES REQUIRED: NONE.</w:t>
      </w:r>
    </w:p>
    <w:p>
      <w:r>
        <w:t>AUTOMATIC EXPANSION TO ALL REMAINING REALWORLDBENCHMARKS PROBLEMS: NOT RECOMMENDED.</w:t>
      </w:r>
    </w:p>
    <w:p>
      <w:pPr>
        <w:pStyle w:val="Heading1"/>
      </w:pPr>
      <w:r>
        <w:t>8. Expansion Gate</w:t>
      </w:r>
    </w:p>
    <w:p>
      <w:r>
        <w:t>Future RWB work should begin only with a written selection question: What structural capability would this case test that the completed program has not already tested? If that question cannot be answered specifically, the case should remain unexecuted.</w:t>
      </w:r>
    </w:p>
    <w:p>
      <w:r>
        <w:t>This preserves the value of the three-case program as independent external evidence while preventing benchmark count from becoming a substitute for new information.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