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Formal Benchmarks to Applied Decisions</w:t>
      </w:r>
    </w:p>
    <w:p>
      <w:pPr>
        <w:jc w:val="center"/>
      </w:pPr>
      <w:r>
        <w:rPr>
          <w:b/>
          <w:sz w:val="24"/>
        </w:rPr>
        <w:t>What Three Source-Locked Real-World Benchmarks Show About the Productive Value-Productive Power Framework</w:t>
      </w:r>
    </w:p>
    <w:p>
      <w:pPr>
        <w:jc w:val="center"/>
      </w:pPr>
      <w:r>
        <w:rPr>
          <w:i/>
        </w:rPr>
        <w:t>Real-World Benchmark Program Closeout and Findings | August 2026</w:t>
      </w:r>
    </w:p>
    <w:p>
      <w:pPr>
        <w:pStyle w:val="Heading1"/>
      </w:pPr>
      <w:r>
        <w:t>Abstract</w:t>
      </w:r>
    </w:p>
    <w:p>
      <w:r>
        <w:t>This paper reports the first three-case real-world benchmark tranche for the Productive Value-Productive Power (PV-PP) framework. The cases were selected and frozen before execution from the MOEAFramework RealWorldBenchmarks repository: Lower Rio Grande Valley water-supply portfolio planning (RWB-001), lake-pollution control policy (RWB-002), and general-aviation aircraft product-family design (RWB-003). The purpose was not to test PV-PP as an optimizer or learning algorithm. The question was narrower: can a frozen PV-PP decision architecture faithfully represent externally defined applied problems while preserving their objectives, constraints, uncertainty, state structure, and decision-relevant distinctions?</w:t>
      </w:r>
    </w:p>
    <w:p>
      <w:r>
        <w:t>Across all three cases, the architecture represented the tested source structure without requiring a new canonical operator or state primitive. The cases independently reinforced the distinction between adequacy and compensatory preference, preserved multidimensional consequence structures after feasibility screening, and supplied evidence for conditional rather than universal scalar reduction. In particular, the aircraft benchmark contains a source-defined scalar feasibility measure that is exactly lossless for its binary feasibility question, while its ten performance objectives remain non-equivalent. The source-locked program also detected two benchmark-side implementation defects: a drought-calculation mode mismatch in RWB-001 and time-based reseeding that compromises nominal Monte Carlo independence in RWB-002. These results are constructive evidence about representational compatibility and boundary preservation, not proof of optimality, superiority, or universal real-world adequacy.</w:t>
      </w:r>
    </w:p>
    <w:p>
      <w:pPr>
        <w:pStyle w:val="Heading1"/>
      </w:pPr>
      <w:r>
        <w:t>1. Why a Real-World Benchmark Tranche Was Needed</w:t>
      </w:r>
    </w:p>
    <w:p>
      <w:r>
        <w:t>Internal simulations and standardized benchmark environments can show that a framework is executable and can survive independently designed formal tests. They leave a further question open: what happens when the decision problem comes from applied research and its variables, equations, constraints, and objectives were not designed around PV-PP?</w:t>
      </w:r>
    </w:p>
    <w:p>
      <w:r>
        <w:t>The real-world tranche was created to address that question. Its governing test was deliberately representational. PV-PP was required to preserve what the source problem actually asked. A benchmark would not count as a success if the problem had to be rewritten into PV-PP vocabulary in a way that changed its decision structure.</w:t>
      </w:r>
    </w:p>
    <w:p>
      <w:r>
        <w:t>The three cases were selected before their results were known and were frozen against the same supplied RealWorldBenchmarks repository, Git commit a4cc6312326df91dc92205b1aeac5721f83e1d36. The program stopped after RWB-003 by prior design so that a favorable or unfavorable result could not trigger post hoc substitution.</w:t>
      </w:r>
    </w:p>
    <w:p>
      <w:pPr>
        <w:pStyle w:val="Heading1"/>
      </w:pPr>
      <w:r>
        <w:t>2. What Was and Was Not Being Tested</w:t>
      </w:r>
    </w:p>
    <w:p>
      <w:r>
        <w:t>PV-PP was tested here as a decision architecture. The benchmark's own equations or executable supplied the consequence model. PV-PP supplied the representational and decision distinctions used to carry state, alternatives, constraints, adequacy, projected consequences, and selection.</w:t>
      </w:r>
    </w:p>
    <w:p>
      <w:pPr>
        <w:pStyle w:val="ListBullet"/>
      </w:pPr>
      <w:r>
        <w:t>The program did not ask whether PV-PP could outperform multi-objective evolutionary algorithms or domain-specific optimizers.</w:t>
      </w:r>
    </w:p>
    <w:p>
      <w:pPr>
        <w:pStyle w:val="ListBullet"/>
      </w:pPr>
      <w:r>
        <w:t>The program did not treat benchmark objectives automatically as canonical PV-PP domains.</w:t>
      </w:r>
    </w:p>
    <w:p>
      <w:pPr>
        <w:pStyle w:val="ListBullet"/>
      </w:pPr>
      <w:r>
        <w:t>The program did not permit a benchmark failure to be repaired by adding a new PV-PP operator during execution.</w:t>
      </w:r>
    </w:p>
    <w:p>
      <w:pPr>
        <w:pStyle w:val="Heading1"/>
      </w:pPr>
      <w:r>
        <w:t>3. Source Lock and Execution Discipline</w:t>
      </w:r>
    </w:p>
    <w:p>
      <w:r>
        <w:t>Each case was reconstructed from the supplied source before PV-PP interpretation. Native implementations were compiled where available, and the aircraft response-surface implementation was executed from the unchanged repository GAA.java with a minimal compatibility shell for MOEA Framework data containers. Source-defined constraints remained source-defined constraints; stochastic and dynamic mechanisms were not replaced with convenient PV-PP surrogates for final closeout.</w:t>
      </w:r>
    </w:p>
    <w:p>
      <w:r>
        <w:t>The execution record also distinguished benchmark defects, fixture or translation errors, search failures, policy failures, formalization gaps, and architecture failures. This separation mattered because two of the three external implementations contained defects that could otherwise have been misattributed to PV-PP.</w:t>
      </w:r>
    </w:p>
    <w:p>
      <w:pPr>
        <w:pStyle w:val="Heading1"/>
      </w:pPr>
      <w:r>
        <w:t>4. Case Results</w:t>
      </w:r>
    </w:p>
    <w:p>
      <w:pPr>
        <w:pStyle w:val="Heading2"/>
      </w:pPr>
      <w:r>
        <w:t>4.1 RWB-001 - Lower Rio Grande Valley Water Supply Portfolio Planning</w:t>
      </w:r>
    </w:p>
    <w:p>
      <w:r>
        <w:t>RWB-001 models a ten-year water-supply portfolio using permanent water rights, options contracts, and leases under uncertainty. The source-locked interface contains eight decision variables, six objectives, and four constraints. The native model uses 5,000 Monte Carlo simulations and distinguishes ordinary reliability, critical reliability, cost variability, and drought vulnerability.</w:t>
      </w:r>
    </w:p>
    <w:p>
      <w:r>
        <w:t>A frozen 250-candidate native sample was evaluated. Using the source-consistent combined calculation path, 60 candidates satisfied all four constraints and 39 of those were nondominated within the sampled six-objective set. A particularly informative comparison involved a lower-cost candidate with normalized cost 0.081164 versus the cheapest feasible sampled candidate at 0.115361. The cheaper candidate nevertheless violated reliability, critical reliability, and drought vulnerability. The source problem therefore supplied its own example of why attractive preference outcomes do not erase failed adequacy conditions.</w:t>
      </w:r>
    </w:p>
    <w:p>
      <w:r>
        <w:t>The case also preserved the functional distinction between persistent capacity and transaction: permanent rights, contingent options, and short-horizon leases remained different decision mechanisms rather than being collapsed into a single water-value number.</w:t>
      </w:r>
    </w:p>
    <w:p>
      <w:r>
        <w:t>RWB-001 exposed a benchmark implementation defect. The current Java wrapper launches the native model in ten-year mode while declaring drought-transfer cost and drought vulnerability that the native source calculates in combined mode. On the same 250 candidates, using combined mode changed the drought objective for 175 candidates and the drought constraint for 40; feasible count fell from 62 to 60. The defect was recorded rather than patched silently.</w:t>
      </w:r>
    </w:p>
    <w:p>
      <w:r>
        <w:t>Disposition: PASS. Primary classification A - Adequacy / Constraint Distinction; supporting P - Multidimensional Preservation and C - Scalar Containment. No canonical PV-PP architecture change was required.</w:t>
      </w:r>
    </w:p>
    <w:p>
      <w:pPr>
        <w:pStyle w:val="Heading2"/>
      </w:pPr>
      <w:r>
        <w:t>4.2 RWB-002 - Lake Pollution Control Policy</w:t>
      </w:r>
    </w:p>
    <w:p>
      <w:r>
        <w:t>RWB-002 uses a persistent nonlinear lake state over 100 time steps. Its 100 decision variables specify anthropogenic phosphorus loading through time. Four objectives track maximum phosphorus, expected discounted benefit, inertia, and reliability; the source requires reliability of at least 0.85.</w:t>
      </w:r>
    </w:p>
    <w:p>
      <w:r>
        <w:t>The native execution evaluated 817 frozen policies. Twenty-three satisfied the reliability constraint, and six were nondominated within the feasible sample. The clearest adequacy result came from constant loading. Raising loading from 0.02 to 0.03 increased expected benefit from approximately 0.347 to 0.520, but maximum phosphorus jumped from roughly 0.15 to 2.04 and reliability fell from 1.00 to 0.49. The higher-benefit policy was therefore source-defined as infeasible.</w:t>
      </w:r>
    </w:p>
    <w:p>
      <w:r>
        <w:t>The case also demonstrated persistent-state and temporal structure. Low-then-high and high-then-low policies using the same two loading levels for the same number of periods produced materially different reliability and discounted benefit. Total pollution alone was not an adequate representation of the decision sequence.</w:t>
      </w:r>
    </w:p>
    <w:p>
      <w:r>
        <w:t>RWB-002 exposed a separate benchmark defect. The natural-inflow generator creates a new random generator and seeds it with time(NULL) whenever a scenario is generated. Scenarios generated within the same second can therefore receive the same seed, compromising the intended independence of the nominal 100-scenario Monte Carlo ensemble. The supplied source was not altered to remove the defect.</w:t>
      </w:r>
    </w:p>
    <w:p>
      <w:r>
        <w:t>Disposition: PASS. Primary classification A - Adequacy / Constraint Distinction; supporting P - Multidimensional Preservation. No canonical PV-PP architecture change was required.</w:t>
      </w:r>
    </w:p>
    <w:p>
      <w:pPr>
        <w:pStyle w:val="Heading2"/>
      </w:pPr>
      <w:r>
        <w:t>4.3 RWB-003 - General Aviation Aircraft Product-Family Design</w:t>
      </w:r>
    </w:p>
    <w:p>
      <w:r>
        <w:t>RWB-003 is a coupled engineering design problem rather than a temporal control problem. The source defines 27 real decision variables - nine for each of three aircraft variants - together with ten objectives and one exposed feasibility constraint. The first nine objectives report worst-case family performance across noise, weight, operating cost, roughness, fuel, purchase cost, range, lift-to-drag performance, and cruise-speed performance. The tenth objective penalizes product-family differentiation.</w:t>
      </w:r>
    </w:p>
    <w:p>
      <w:r>
        <w:t>The exact GAA.java equations were validated against the repository's own lower- and upper-bound reference tests. A broad stage evaluated 30,000 families and a local differentiated stage evaluated another 20,000. The broad independent random sample found no feasible independently designed families, while five fully common families were feasible. The local stage then demonstrated that differentiated feasibility was not impossible: 12,108 of 20,000 locally differentiated families satisfied the source constraint.</w:t>
      </w:r>
    </w:p>
    <w:p>
      <w:r>
        <w:t>The most important scalar result came directly from the source formulation. The exposed constraint CV_TOTAL is the sum of 18 normalized nonnegative requirement violations - six for each aircraft. Because every term is nonnegative, CV_TOTAL = 0 if and only if all 18 underlying requirements pass. For that binary feasibility question, the scalar aggregation is mathematically lossless. The benchmark therefore supplies a concrete external case in which one number is enough.</w:t>
      </w:r>
    </w:p>
    <w:p>
      <w:r>
        <w:t>That conclusion does not automatically extend to the ten performance objectives. Feasible differentiated families retained many non-equivalent objective profiles, including a separate system-level commonality penalty. A scalar ranking could be introduced for a defined purpose, but its adequacy would have to be established rather than assumed.</w:t>
      </w:r>
    </w:p>
    <w:p>
      <w:r>
        <w:t>Disposition: PASS. Primary classification P - Multidimensional Preservation; supporting A - Adequacy / Constraint Distinction and C - Scalar Containment. No benchmark implementation defect was identified in the executed GAA equations, and no canonical PV-PP architecture change was required.</w:t>
      </w:r>
    </w:p>
    <w:p>
      <w:pPr>
        <w:pStyle w:val="Heading1"/>
      </w:pPr>
      <w:r>
        <w:t>5. Cross-Case Findings</w:t>
      </w:r>
    </w:p>
    <w:tbl>
      <w:tblPr>
        <w:tblStyle w:val="TableGrid"/>
        <w:tblW w:type="auto" w:w="0"/>
        <w:tblLook w:firstColumn="1" w:firstRow="1" w:lastColumn="0" w:lastRow="0" w:noHBand="0" w:noVBand="1" w:val="04A0"/>
      </w:tblPr>
      <w:tblGrid>
        <w:gridCol w:w="1999"/>
        <w:gridCol w:w="1999"/>
        <w:gridCol w:w="1999"/>
        <w:gridCol w:w="1999"/>
        <w:gridCol w:w="1999"/>
      </w:tblGrid>
      <w:tr>
        <w:tc>
          <w:tcPr>
            <w:tcW w:type="dxa" w:w="1999"/>
            <w:shd w:fill="D9E2F3"/>
            <w:vAlign w:val="center"/>
          </w:tcPr>
          <w:p>
            <w:r>
              <w:t>Case</w:t>
            </w:r>
          </w:p>
        </w:tc>
        <w:tc>
          <w:tcPr>
            <w:tcW w:type="dxa" w:w="1999"/>
            <w:shd w:fill="D9E2F3"/>
            <w:vAlign w:val="center"/>
          </w:tcPr>
          <w:p>
            <w:r>
              <w:t>Applied structure</w:t>
            </w:r>
          </w:p>
        </w:tc>
        <w:tc>
          <w:tcPr>
            <w:tcW w:type="dxa" w:w="1999"/>
            <w:shd w:fill="D9E2F3"/>
            <w:vAlign w:val="center"/>
          </w:tcPr>
          <w:p>
            <w:r>
              <w:t>Primary result</w:t>
            </w:r>
          </w:p>
        </w:tc>
        <w:tc>
          <w:tcPr>
            <w:tcW w:type="dxa" w:w="1999"/>
            <w:shd w:fill="D9E2F3"/>
            <w:vAlign w:val="center"/>
          </w:tcPr>
          <w:p>
            <w:r>
              <w:t>Scalar lesson</w:t>
            </w:r>
          </w:p>
        </w:tc>
        <w:tc>
          <w:tcPr>
            <w:tcW w:type="dxa" w:w="1999"/>
            <w:shd w:fill="D9E2F3"/>
            <w:vAlign w:val="center"/>
          </w:tcPr>
          <w:p>
            <w:r>
              <w:t>PV-PP change</w:t>
            </w:r>
          </w:p>
        </w:tc>
      </w:tr>
      <w:tr>
        <w:tc>
          <w:tcPr>
            <w:tcW w:type="dxa" w:w="1999"/>
            <w:vAlign w:val="center"/>
          </w:tcPr>
          <w:p>
            <w:r>
              <w:t>RWB-001</w:t>
            </w:r>
          </w:p>
        </w:tc>
        <w:tc>
          <w:tcPr>
            <w:tcW w:type="dxa" w:w="1999"/>
            <w:vAlign w:val="center"/>
          </w:tcPr>
          <w:p>
            <w:r>
              <w:t>Uncertain water portfolio</w:t>
            </w:r>
          </w:p>
        </w:tc>
        <w:tc>
          <w:tcPr>
            <w:tcW w:type="dxa" w:w="1999"/>
            <w:vAlign w:val="center"/>
          </w:tcPr>
          <w:p>
            <w:r>
              <w:t>Adequacy before cost preference</w:t>
            </w:r>
          </w:p>
        </w:tc>
        <w:tc>
          <w:tcPr>
            <w:tcW w:type="dxa" w:w="1999"/>
            <w:vAlign w:val="center"/>
          </w:tcPr>
          <w:p>
            <w:r>
              <w:t>Conditional reduction after feasibility</w:t>
            </w:r>
          </w:p>
        </w:tc>
        <w:tc>
          <w:tcPr>
            <w:tcW w:type="dxa" w:w="1999"/>
            <w:vAlign w:val="center"/>
          </w:tcPr>
          <w:p>
            <w:r>
              <w:t>None</w:t>
            </w:r>
          </w:p>
        </w:tc>
      </w:tr>
      <w:tr>
        <w:tc>
          <w:tcPr>
            <w:tcW w:type="dxa" w:w="1999"/>
            <w:vAlign w:val="center"/>
          </w:tcPr>
          <w:p>
            <w:r>
              <w:t>RWB-002</w:t>
            </w:r>
          </w:p>
        </w:tc>
        <w:tc>
          <w:tcPr>
            <w:tcW w:type="dxa" w:w="1999"/>
            <w:vAlign w:val="center"/>
          </w:tcPr>
          <w:p>
            <w:r>
              <w:t>Persistent nonlinear lake dynamics</w:t>
            </w:r>
          </w:p>
        </w:tc>
        <w:tc>
          <w:tcPr>
            <w:tcW w:type="dxa" w:w="1999"/>
            <w:vAlign w:val="center"/>
          </w:tcPr>
          <w:p>
            <w:r>
              <w:t>Threshold reliability and path dependence</w:t>
            </w:r>
          </w:p>
        </w:tc>
        <w:tc>
          <w:tcPr>
            <w:tcW w:type="dxa" w:w="1999"/>
            <w:vAlign w:val="center"/>
          </w:tcPr>
          <w:p>
            <w:r>
              <w:t>Benefit cannot compensate for failed reliability</w:t>
            </w:r>
          </w:p>
        </w:tc>
        <w:tc>
          <w:tcPr>
            <w:tcW w:type="dxa" w:w="1999"/>
            <w:vAlign w:val="center"/>
          </w:tcPr>
          <w:p>
            <w:r>
              <w:t>None</w:t>
            </w:r>
          </w:p>
        </w:tc>
      </w:tr>
      <w:tr>
        <w:tc>
          <w:tcPr>
            <w:tcW w:type="dxa" w:w="1999"/>
            <w:vAlign w:val="center"/>
          </w:tcPr>
          <w:p>
            <w:r>
              <w:t>RWB-003</w:t>
            </w:r>
          </w:p>
        </w:tc>
        <w:tc>
          <w:tcPr>
            <w:tcW w:type="dxa" w:w="1999"/>
            <w:vAlign w:val="center"/>
          </w:tcPr>
          <w:p>
            <w:r>
              <w:t>Coupled aircraft family design</w:t>
            </w:r>
          </w:p>
        </w:tc>
        <w:tc>
          <w:tcPr>
            <w:tcW w:type="dxa" w:w="1999"/>
            <w:vAlign w:val="center"/>
          </w:tcPr>
          <w:p>
            <w:r>
              <w:t>Many-objective preservation and family coupling</w:t>
            </w:r>
          </w:p>
        </w:tc>
        <w:tc>
          <w:tcPr>
            <w:tcW w:type="dxa" w:w="1999"/>
            <w:vAlign w:val="center"/>
          </w:tcPr>
          <w:p>
            <w:r>
              <w:t>Exact lossless scalar feasibility gate</w:t>
            </w:r>
          </w:p>
        </w:tc>
        <w:tc>
          <w:tcPr>
            <w:tcW w:type="dxa" w:w="1999"/>
            <w:vAlign w:val="center"/>
          </w:tcPr>
          <w:p>
            <w:r>
              <w:t>None</w:t>
            </w:r>
          </w:p>
        </w:tc>
      </w:tr>
    </w:tbl>
    <w:p>
      <w:pPr>
        <w:pStyle w:val="Heading2"/>
      </w:pPr>
      <w:r>
        <w:t>5.1 Adequacy and preference are different operations</w:t>
      </w:r>
    </w:p>
    <w:p>
      <w:r>
        <w:t>The most consistent result across the tranche is that externally defined acceptability conditions cannot be treated as merely another compensable preference without changing the source problem. RWB-001 rejected a cheaper portfolio when reliability requirements failed. RWB-002 rejected a higher-benefit pollution policy when reliability collapsed. RWB-003 treated any positive requirement violation as infeasible before ordinary comparison among adequate families.</w:t>
      </w:r>
    </w:p>
    <w:p>
      <w:pPr>
        <w:pStyle w:val="Heading2"/>
      </w:pPr>
      <w:r>
        <w:t>5.2 Multidimensional structure survives feasibility screening</w:t>
      </w:r>
    </w:p>
    <w:p>
      <w:r>
        <w:t>Feasibility did not generally collapse the remaining decision problem to a single obvious choice. RWB-001 retained 39 sample-level nondominated feasible portfolios. RWB-002 retained six sample-level nondominated feasible policies. RWB-003 retained extensive many-objective differentiation among feasible aircraft families. These counts are sample diagnostics, not global Pareto claims, but they show why feasibility and preference should remain distinct stages.</w:t>
      </w:r>
    </w:p>
    <w:p>
      <w:pPr>
        <w:pStyle w:val="Heading2"/>
      </w:pPr>
      <w:r>
        <w:t>5.3 Scalar reduction is conditional, not prohibited</w:t>
      </w:r>
    </w:p>
    <w:p>
      <w:r>
        <w:t>The tranche argues against a simple 'vectors good, scalars bad' interpretation. RWB-003 provides a source-defined scalar that is exactly sufficient for the binary feasibility decision because it sums only nonnegative violations and tests whether the sum is zero. RWB-001 and RWB-002 show the opposite risk: a scalar that allows cost or benefit improvements to compensate for failed reliability would change the governing decision boundary. The relevant question is therefore not whether a scalar exists, but whether the mapping preserves every distinction needed for the decision being made.</w:t>
      </w:r>
    </w:p>
    <w:p>
      <w:pPr>
        <w:pStyle w:val="Heading2"/>
      </w:pPr>
      <w:r>
        <w:t>5.4 External models did not require benchmark-specific PV-PP primitives</w:t>
      </w:r>
    </w:p>
    <w:p>
      <w:r>
        <w:t>The three applied models introduced mechanisms that PV-PP did not invent: water rights and leases, ecological recycling and decay, aircraft response surfaces, and family commonality penalties. None required a new canonical operator or state primitive. They could be carried as environmental state, capacity, exchange, constraints, projected consequences, relational structure, and adequacy/selection within the frozen architecture.</w:t>
      </w:r>
    </w:p>
    <w:p>
      <w:pPr>
        <w:pStyle w:val="Heading1"/>
      </w:pPr>
      <w:r>
        <w:t>6. Benchmark Defects as a Methodological Result</w:t>
      </w:r>
    </w:p>
    <w:p>
      <w:r>
        <w:t>Two source defects were discovered during the three-case program. This is not evidence against the underlying research domains, nor does it invalidate the benchmark family as a whole. It does show why source-locked execution matters. If benchmark outputs are treated as unquestionable ground truth, implementation defects can be misclassified as failures of the architecture being tested.</w:t>
      </w:r>
    </w:p>
    <w:p>
      <w:r>
        <w:t>The RWB program therefore treats benchmark defects as a separate result category. The same separation should be retained in future work: benchmark defect, fixture/translation error, search failure, policy failure, scalar-reduction failure, formalization gap, and architecture failure are not interchangeable diagnoses.</w:t>
      </w:r>
    </w:p>
    <w:p>
      <w:pPr>
        <w:pStyle w:val="Heading1"/>
      </w:pPr>
      <w:r>
        <w:t>7. What These Results Support</w:t>
      </w:r>
    </w:p>
    <w:p>
      <w:r>
        <w:t>The evidence supports a bounded claim: across three preselected, independently defined applied decision models with materially different structures, the frozen PV-PP architecture preserved the source problems' decision-relevant distinctions and executed the planned architecture tests without requiring canonical modification.</w:t>
      </w:r>
    </w:p>
    <w:p>
      <w:r>
        <w:t>The evidence also supports the framework's conditional scalar-reduction position. A scalar can be fully adequate when its construction is provably lossless for the decision question, as in the GAA feasibility gate. A scalar should not be assumed adequate when it permits one objective to compensate for a source-defined feasibility failure or erases temporal, relational, or multidimensional structure.</w:t>
      </w:r>
    </w:p>
    <w:p>
      <w:pPr>
        <w:pStyle w:val="Heading1"/>
      </w:pPr>
      <w:r>
        <w:t>8. What These Results Do Not Support</w:t>
      </w:r>
    </w:p>
    <w:p>
      <w:pPr>
        <w:pStyle w:val="ListBullet"/>
      </w:pPr>
      <w:r>
        <w:t>They do not prove that PV-PP is an optimal search, learning, or control algorithm.</w:t>
      </w:r>
    </w:p>
    <w:p>
      <w:pPr>
        <w:pStyle w:val="ListBullet"/>
      </w:pPr>
      <w:r>
        <w:t>They do not establish superiority over multi-objective evolutionary algorithms, operations research, control theory, or domain-specific methods.</w:t>
      </w:r>
    </w:p>
    <w:p>
      <w:pPr>
        <w:pStyle w:val="ListBullet"/>
      </w:pPr>
      <w:r>
        <w:t>They do not prove that every real-world decision can be represented without future PV-PP formalization.</w:t>
      </w:r>
    </w:p>
    <w:p>
      <w:pPr>
        <w:pStyle w:val="ListBullet"/>
      </w:pPr>
      <w:r>
        <w:t>They do not establish global Pareto frontiers for the three cases or convert sample-level nondominance into global optimality.</w:t>
      </w:r>
    </w:p>
    <w:p>
      <w:pPr>
        <w:pStyle w:val="ListBullet"/>
      </w:pPr>
      <w:r>
        <w:t>They do not establish that every benchmark objective is a canonical PV-PP domain.</w:t>
      </w:r>
    </w:p>
    <w:p>
      <w:pPr>
        <w:pStyle w:val="Heading1"/>
      </w:pPr>
      <w:r>
        <w:t>9. Relationship to the Broader PV-PP Benchmark Program</w:t>
      </w:r>
    </w:p>
    <w:p>
      <w:r>
        <w:t>The real-world tranche adds a third evidentiary level to the PV-PP testing program. Internal simulations ask whether the framework can be made operational under controlled constructions. Standardized public benchmark suites ask whether a frozen architecture can handle independently designed formal problems. The RWB tranche asks whether the same architecture can preserve applied models whose mechanisms and requirements come from external domain research.</w:t>
      </w:r>
    </w:p>
    <w:p>
      <w:r>
        <w:t>The three levels are complementary rather than interchangeable. The real-world cases do not replace formal benchmarks, and formal benchmarks do not replace source-locked applied models. Together they provide progressively stronger tests against the possibility that the framework succeeds only because its problems were written in its own language.</w:t>
      </w:r>
    </w:p>
    <w:p>
      <w:pPr>
        <w:pStyle w:val="Heading1"/>
      </w:pPr>
      <w:r>
        <w:t>10. Program Disposition</w:t>
      </w:r>
    </w:p>
    <w:p>
      <w:r>
        <w:t>The exploratory real-world tranche is COMPLETE and should be frozen at RWB-001 through RWB-003. Automatic expansion to every remaining problem in the RealWorldBenchmarks repository is not warranted by the current evidence. Additional cases should be admitted only when they pressure a structural capability not already well covered by the completed program.</w:t>
      </w:r>
    </w:p>
    <w:p>
      <w:r>
        <w:t>The appropriate next use of the result is synthesis and external scrutiny: preserve the complete execution record, incorporate the real-world tranche into the broader PV-PP benchmark evidence record, and use the GAA feasibility construction as an external supporting example in the scalar-reduction research program. Further benchmark volume should not substitute for a new research question.</w:t>
      </w:r>
    </w:p>
    <w:p>
      <w:pPr>
        <w:pStyle w:val="Heading1"/>
      </w:pPr>
      <w:r>
        <w:t>11. Conclusion</w:t>
      </w:r>
    </w:p>
    <w:p>
      <w:r>
        <w:t>The first PV-PP real-world benchmark tranche produced a narrower but more useful result than a claim that the framework 'passed' three problems. The frozen architecture was able to carry three externally defined applied decision structures without rewriting away their constraints, uncertainty, persistence, cross-entity coupling, or multidimensional consequences. In each case, the distinction between adequacy and ordinary preference remained meaningful.</w:t>
      </w:r>
    </w:p>
    <w:p>
      <w:r>
        <w:t>The tranche also sharpened the scalar question. One number can be enough when the reduction is structurally lossless for the question being asked. One number is not enough merely because a weighted sum can be computed. The GAA feasibility measure demonstrates the first case; the water and lake benchmarks demonstrate why the second cannot be assumed.</w:t>
      </w:r>
    </w:p>
    <w:p>
      <w:r>
        <w:t>These findings are constructive evidence, not proof of universal adequacy. Their value is that the evidence comes from applied models whose source structures were fixed outside the PV-PP project and were preserved during execution. That is the point at which the real-world tranche should be closed and its results moved from testing into synthesis.</w:t>
      </w:r>
    </w:p>
    <w:p>
      <w:pPr>
        <w:pStyle w:val="Heading1"/>
      </w:pPr>
      <w:r>
        <w:t>Appendix A. Frozen Case Summary</w:t>
      </w:r>
    </w:p>
    <w:p>
      <w:pPr>
        <w:pStyle w:val="ListBullet"/>
      </w:pPr>
      <w:r>
        <w:t>RWB-001 - Lower Rio Grande Valley Water Supply Portfolio Planning. 8 decision variables; 6 objectives; 4 constraints; 5,000 Monte Carlo simulations; 250-candidate native sample; 60 source-consistent feasible candidates; 39 sample-nondominated feasible candidates. Benchmark defect: Java wrapper mode mismatch affecting drought metrics.</w:t>
      </w:r>
    </w:p>
    <w:p>
      <w:pPr>
        <w:pStyle w:val="ListBullet"/>
      </w:pPr>
      <w:r>
        <w:t>RWB-002 - Lake Pollution Control Policy. 100 time-indexed decision variables; 4 objectives; reliability &gt;= 0.85; 817-policy native sample; 23 feasible policies; 6 sample-nondominated feasible policies. Benchmark defect: repeated time-based reseeding compromises nominal Monte Carlo independence.</w:t>
      </w:r>
    </w:p>
    <w:p>
      <w:pPr>
        <w:pStyle w:val="ListBullet"/>
      </w:pPr>
      <w:r>
        <w:t>RWB-003 - General Aviation Aircraft Product-Family Design. 27 decision variables; 10 objectives; one aggregate constraint built from 18 nonnegative component violations; 50,000 evaluated families across broad and local stages; 12,108 feasible locally differentiated families. No implementation defect identified in executed equations.</w:t>
      </w:r>
    </w:p>
    <w:p>
      <w:pPr>
        <w:pStyle w:val="Heading1"/>
      </w:pPr>
      <w:r>
        <w:t>Appendix B. Source and Execution Record</w:t>
      </w:r>
    </w:p>
    <w:p>
      <w:r>
        <w:t>Repository source: MOEAFramework RealWorldBenchmarks repository supplied as RealWorldBenchmarks.zip. Frozen Git commit: a4cc6312326df91dc92205b1aeac5721f83e1d36.</w:t>
      </w:r>
    </w:p>
    <w:p>
      <w:r>
        <w:t>Primary internal records used for this synthesis: RWB-000 Exploratory Selection Protocol Freeze; RWB-001 Native Execution and Closeout; RWB-002 Native Execution and Closeout; RWB-003 GAA Native Execution and Closeout; and the RWB Exploratory Three-Case Assessment.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