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RWB-001 Source Reconstruction and Fidelity Baseline</w:t>
      </w:r>
    </w:p>
    <w:p>
      <w:pPr>
        <w:jc w:val="center"/>
      </w:pPr>
      <w:r>
        <w:rPr>
          <w:b/>
        </w:rPr>
        <w:t>Water Supply Portfolio Planning — Lower Rio Grande Valley (LRGV)</w:t>
        <w:br/>
        <w:t>PV-PP Real-World Benchmark Program | Pre-Translation Record | August 2026</w:t>
      </w:r>
    </w:p>
    <w:p>
      <w:pPr>
        <w:pStyle w:val="Heading1"/>
      </w:pPr>
      <w:r>
        <w:t>1. Status and Purpose</w:t>
      </w:r>
    </w:p>
    <w:p>
      <w:r>
        <w:t>RWB-001 is the first substantive case in the exploratory Real-World Benchmark program. This document reconstructs the external benchmark before any Productive Value-Productive Power (PV-PP) translation is attempted. Its purpose is to establish what the source problem actually is, which elements are fixed by the public benchmark and literature, where source versions differ, and what must remain unchanged when a later PV-PP representation is built.</w:t>
      </w:r>
    </w:p>
    <w:p>
      <w:pPr>
        <w:pStyle w:val="Heading1"/>
      </w:pPr>
      <w:r>
        <w:t>2. External Problem</w:t>
      </w:r>
    </w:p>
    <w:p>
      <w:r>
        <w:t>The Lower Rio Grande Valley (LRGV) benchmark is a risk-based urban water-supply portfolio planning problem. A single city in the Lower Rio Grande Valley of Texas selects a portfolio of traditional reservoir-based rights and market-based water acquisitions while facing uncertain demand, inflows, and market prices over a multi-year planning horizon.</w:t>
      </w:r>
    </w:p>
    <w:p>
      <w:r>
        <w:t>The source literature treats the problem as a portfolio decision under uncertainty rather than a simple allocation of a fixed quantity of water. The decision maker can combine permanent rights, adaptive options contracts, and spot leases. Monte Carlo simulation is used to evaluate how a candidate portfolio performs across uncertain realizations.</w:t>
      </w:r>
    </w:p>
    <w:p>
      <w:pPr>
        <w:pStyle w:val="Heading1"/>
      </w:pPr>
      <w:r>
        <w:t>3. Supply Instruments</w:t>
      </w:r>
    </w:p>
    <w:p>
      <w:r>
        <w:rPr>
          <w:b/>
        </w:rPr>
        <w:t xml:space="preserve">Permanent rights: </w:t>
      </w:r>
      <w:r>
        <w:t>A non-market claim on a portion of reservoir inflows. The decision variable controls the volume of permanent rights held by the city.</w:t>
      </w:r>
    </w:p>
    <w:p>
      <w:r>
        <w:rPr>
          <w:b/>
        </w:rPr>
        <w:t xml:space="preserve">Adaptive options: </w:t>
      </w:r>
      <w:r>
        <w:t>The city pays to secure the right to acquire a specified volume later at a fixed price. The formulation contains low- and high-volume option alternatives and a threshold selecting between them.</w:t>
      </w:r>
    </w:p>
    <w:p>
      <w:r>
        <w:rPr>
          <w:b/>
        </w:rPr>
        <w:t xml:space="preserve">Spot leases: </w:t>
      </w:r>
      <w:r>
        <w:t>Water can be acquired from regional irrigation districts through leases with demand- and reservoir-sensitive prices. Anticipatory decision rules govern when and how much water is acquired.</w:t>
      </w:r>
    </w:p>
    <w:p>
      <w:pPr>
        <w:pStyle w:val="Heading1"/>
      </w:pPr>
      <w:r>
        <w:t>4. Decision Variables</w:t>
      </w:r>
    </w:p>
    <w:p>
      <w:r>
        <w:t>The full-complexity source formulation described in the earlier LRGV literature uses eight decision variables. The current RealWorldBenchmarks repository also identifies LRGV as an eight-variable problem.</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Function</w:t>
            </w:r>
          </w:p>
        </w:tc>
        <w:tc>
          <w:tcPr>
            <w:tcW w:type="dxa" w:w="3360"/>
          </w:tcPr>
          <w:p>
            <w:r>
              <w:t>Source interpretation</w:t>
            </w:r>
          </w:p>
        </w:tc>
      </w:tr>
      <w:tr>
        <w:tc>
          <w:tcPr>
            <w:tcW w:type="dxa" w:w="3360"/>
          </w:tcPr>
          <w:p>
            <w:r>
              <w:t>N_R</w:t>
            </w:r>
          </w:p>
        </w:tc>
        <w:tc>
          <w:tcPr>
            <w:tcW w:type="dxa" w:w="3360"/>
          </w:tcPr>
          <w:p>
            <w:r>
              <w:t>Permanent-rights volume</w:t>
            </w:r>
          </w:p>
        </w:tc>
        <w:tc>
          <w:tcPr>
            <w:tcW w:type="dxa" w:w="3360"/>
          </w:tcPr>
          <w:p>
            <w:r>
              <w:t>Volume of permanent reservoir rights held by the city.</w:t>
            </w:r>
          </w:p>
        </w:tc>
      </w:tr>
      <w:tr>
        <w:tc>
          <w:tcPr>
            <w:tcW w:type="dxa" w:w="3360"/>
          </w:tcPr>
          <w:p>
            <w:r>
              <w:t>N_O low</w:t>
            </w:r>
          </w:p>
        </w:tc>
        <w:tc>
          <w:tcPr>
            <w:tcW w:type="dxa" w:w="3360"/>
          </w:tcPr>
          <w:p>
            <w:r>
              <w:t>Low option volume</w:t>
            </w:r>
          </w:p>
        </w:tc>
        <w:tc>
          <w:tcPr>
            <w:tcW w:type="dxa" w:w="3360"/>
          </w:tcPr>
          <w:p>
            <w:r>
              <w:t>Low-volume alternative in the adaptive options contract.</w:t>
            </w:r>
          </w:p>
        </w:tc>
      </w:tr>
      <w:tr>
        <w:tc>
          <w:tcPr>
            <w:tcW w:type="dxa" w:w="3360"/>
          </w:tcPr>
          <w:p>
            <w:r>
              <w:t>N_O high</w:t>
            </w:r>
          </w:p>
        </w:tc>
        <w:tc>
          <w:tcPr>
            <w:tcW w:type="dxa" w:w="3360"/>
          </w:tcPr>
          <w:p>
            <w:r>
              <w:t>High option volume</w:t>
            </w:r>
          </w:p>
        </w:tc>
        <w:tc>
          <w:tcPr>
            <w:tcW w:type="dxa" w:w="3360"/>
          </w:tcPr>
          <w:p>
            <w:r>
              <w:t>High-volume alternative in the adaptive options contract.</w:t>
            </w:r>
          </w:p>
        </w:tc>
      </w:tr>
      <w:tr>
        <w:tc>
          <w:tcPr>
            <w:tcW w:type="dxa" w:w="3360"/>
          </w:tcPr>
          <w:p>
            <w:r>
              <w:t>ξ</w:t>
            </w:r>
          </w:p>
        </w:tc>
        <w:tc>
          <w:tcPr>
            <w:tcW w:type="dxa" w:w="3360"/>
          </w:tcPr>
          <w:p>
            <w:r>
              <w:t>Option threshold</w:t>
            </w:r>
          </w:p>
        </w:tc>
        <w:tc>
          <w:tcPr>
            <w:tcW w:type="dxa" w:w="3360"/>
          </w:tcPr>
          <w:p>
            <w:r>
              <w:t>Threshold used to choose between the low- and high-volume option alternatives.</w:t>
            </w:r>
          </w:p>
        </w:tc>
      </w:tr>
      <w:tr>
        <w:tc>
          <w:tcPr>
            <w:tcW w:type="dxa" w:w="3360"/>
          </w:tcPr>
          <w:p>
            <w:r>
              <w:t>α Jan-Apr</w:t>
            </w:r>
          </w:p>
        </w:tc>
        <w:tc>
          <w:tcPr>
            <w:tcW w:type="dxa" w:w="3360"/>
          </w:tcPr>
          <w:p>
            <w:r>
              <w:t>Early-year acquisition timing</w:t>
            </w:r>
          </w:p>
        </w:tc>
        <w:tc>
          <w:tcPr>
            <w:tcW w:type="dxa" w:w="3360"/>
          </w:tcPr>
          <w:p>
            <w:r>
              <w:t>Risk-based rule controlling when early-year leases are acquired.</w:t>
            </w:r>
          </w:p>
        </w:tc>
      </w:tr>
      <w:tr>
        <w:tc>
          <w:tcPr>
            <w:tcW w:type="dxa" w:w="3360"/>
          </w:tcPr>
          <w:p>
            <w:r>
              <w:t>β Jan-Apr</w:t>
            </w:r>
          </w:p>
        </w:tc>
        <w:tc>
          <w:tcPr>
            <w:tcW w:type="dxa" w:w="3360"/>
          </w:tcPr>
          <w:p>
            <w:r>
              <w:t>Early-year acquisition volume</w:t>
            </w:r>
          </w:p>
        </w:tc>
        <w:tc>
          <w:tcPr>
            <w:tcW w:type="dxa" w:w="3360"/>
          </w:tcPr>
          <w:p>
            <w:r>
              <w:t>Risk-based rule controlling how much water is acquired early in the year.</w:t>
            </w:r>
          </w:p>
        </w:tc>
      </w:tr>
      <w:tr>
        <w:tc>
          <w:tcPr>
            <w:tcW w:type="dxa" w:w="3360"/>
          </w:tcPr>
          <w:p>
            <w:r>
              <w:t>α May-Dec</w:t>
            </w:r>
          </w:p>
        </w:tc>
        <w:tc>
          <w:tcPr>
            <w:tcW w:type="dxa" w:w="3360"/>
          </w:tcPr>
          <w:p>
            <w:r>
              <w:t>Late-year acquisition timing</w:t>
            </w:r>
          </w:p>
        </w:tc>
        <w:tc>
          <w:tcPr>
            <w:tcW w:type="dxa" w:w="3360"/>
          </w:tcPr>
          <w:p>
            <w:r>
              <w:t>Risk-based rule controlling when late-year leases/options are exercised.</w:t>
            </w:r>
          </w:p>
        </w:tc>
      </w:tr>
      <w:tr>
        <w:tc>
          <w:tcPr>
            <w:tcW w:type="dxa" w:w="3360"/>
          </w:tcPr>
          <w:p>
            <w:r>
              <w:t>β May-Dec</w:t>
            </w:r>
          </w:p>
        </w:tc>
        <w:tc>
          <w:tcPr>
            <w:tcW w:type="dxa" w:w="3360"/>
          </w:tcPr>
          <w:p>
            <w:r>
              <w:t>Late-year acquisition volume</w:t>
            </w:r>
          </w:p>
        </w:tc>
        <w:tc>
          <w:tcPr>
            <w:tcW w:type="dxa" w:w="3360"/>
          </w:tcPr>
          <w:p>
            <w:r>
              <w:t>Risk-based rule controlling how much water is acquired late in the year.</w:t>
            </w:r>
          </w:p>
        </w:tc>
      </w:tr>
    </w:tbl>
    <w:p>
      <w:r>
        <w:t>The published 2009 formulation reports a permanent-rights range of 30,000-60,000 acre-feet, a low option alternative of 0-20,000 acre-feet, an option threshold ξ of 0.1-0.4, and α/β rule parameters bounded within approximately 0-3 subject to ordering restrictions. Exact bounds used by the current RealWorldBenchmarks implementation should be treated as implementation authority once the source file is directly inspected.</w:t>
      </w:r>
    </w:p>
    <w:p>
      <w:pPr>
        <w:pStyle w:val="Heading1"/>
      </w:pPr>
      <w:r>
        <w:t>5. Performance Objectives</w:t>
      </w:r>
    </w:p>
    <w:p>
      <w:r>
        <w:t>The literature defines six distinct performance measures in the fully expanded many-objective formulation:</w:t>
      </w:r>
    </w:p>
    <w:p>
      <w:pPr>
        <w:pStyle w:val="ListBullet"/>
      </w:pPr>
      <w:r>
        <w:rPr>
          <w:b/>
        </w:rPr>
        <w:t xml:space="preserve">Expected water-supply cost: </w:t>
      </w:r>
      <w:r>
        <w:t>Minimize the expected cost of the portfolio.</w:t>
      </w:r>
    </w:p>
    <w:p>
      <w:pPr>
        <w:pStyle w:val="ListBullet"/>
      </w:pPr>
      <w:r>
        <w:rPr>
          <w:b/>
        </w:rPr>
        <w:t xml:space="preserve">Reliability: </w:t>
      </w:r>
      <w:r>
        <w:t>Maximize the probability or frequency of meeting water demand.</w:t>
      </w:r>
    </w:p>
    <w:p>
      <w:pPr>
        <w:pStyle w:val="ListBullet"/>
      </w:pPr>
      <w:r>
        <w:rPr>
          <w:b/>
        </w:rPr>
        <w:t xml:space="preserve">Surplus water: </w:t>
      </w:r>
      <w:r>
        <w:t>Minimize water carried or left in excess of demand.</w:t>
      </w:r>
    </w:p>
    <w:p>
      <w:pPr>
        <w:pStyle w:val="ListBullet"/>
      </w:pPr>
      <w:r>
        <w:rPr>
          <w:b/>
        </w:rPr>
        <w:t xml:space="preserve">Cost variability: </w:t>
      </w:r>
      <w:r>
        <w:t>Minimize variability or tail-risk exposure in portfolio cost.</w:t>
      </w:r>
    </w:p>
    <w:p>
      <w:pPr>
        <w:pStyle w:val="ListBullet"/>
      </w:pPr>
      <w:r>
        <w:rPr>
          <w:b/>
        </w:rPr>
        <w:t xml:space="preserve">Dropped / unused transfers: </w:t>
      </w:r>
      <w:r>
        <w:t>Minimize acquired market water that is not ultimately used.</w:t>
      </w:r>
    </w:p>
    <w:p>
      <w:pPr>
        <w:pStyle w:val="ListBullet"/>
      </w:pPr>
      <w:r>
        <w:rPr>
          <w:b/>
        </w:rPr>
        <w:t xml:space="preserve">Number of leases: </w:t>
      </w:r>
      <w:r>
        <w:t>Minimize reliance on repeated spot-market lease transactions, used as a proxy for transaction burden/cost.</w:t>
      </w:r>
    </w:p>
    <w:p>
      <w:pPr>
        <w:pStyle w:val="Heading1"/>
      </w:pPr>
      <w:r>
        <w:t>6. Current Benchmark-Version Discrepancy</w:t>
      </w:r>
    </w:p>
    <w:p>
      <w:r>
        <w:t>There is an important version/formulation distinction that must be preserved rather than silently reconciled.</w:t>
      </w:r>
    </w:p>
    <w:p>
      <w:r>
        <w:t>The current MOEA Framework RealWorldBenchmarks repository lists LRGV as an 8-variable, 5-objective, 4-constraint benchmark. The 2024 diagnostic benchmarking paper describes the LRGV application in six-objective terms. Earlier LRGV papers also develop formulations containing up to six objectives.</w:t>
      </w:r>
    </w:p>
    <w:p>
      <w:r>
        <w:t>A separate later description of the five-objective benchmarking version identifies the five objectives as expected cost, reliability, surplus water, dropped/unused transfers, and number of leases. In that version, cost variability is no longer carried as an objective. This appears consistent with the repository's five-objective count, but the exact current source implementation remains the controlling authority for RWB-001.</w:t>
      </w:r>
    </w:p>
    <w:p>
      <w:r>
        <w:t>Therefore RWB-001 will not assume that the six-objective research formulation and the current five-objective benchmark implementation are identical. The benchmark test will use the current RealWorldBenchmarks implementation as the executable/frozen benchmark definition, while the earlier papers are used to understand the real-world meaning and provenance of its variables and performance measures.</w:t>
      </w:r>
    </w:p>
    <w:p>
      <w:pPr>
        <w:pStyle w:val="Heading1"/>
      </w:pPr>
      <w:r>
        <w:t>7. Constraints and Feasibility</w:t>
      </w:r>
    </w:p>
    <w:p>
      <w:r>
        <w:t>The LRGV problem is severely constrained. The literature contains multiple reliability and risk constraints across formulations. These include ordinary reliability thresholds, cost-variability limits in some formulations, and a critical-reliability requirement intended to prevent catastrophic shortfalls.</w:t>
      </w:r>
    </w:p>
    <w:p>
      <w:r>
        <w:t>A widely reported critical-reliability rule requires the city to avoid realizations in which available supply falls below 60% of demand; equivalently, the benchmark is designed to exclude catastrophic shortfalls greater than 40% of demand. In a five-objective benchmarking configuration reported in later work, portfolios are evaluated with 10,000-member Monte Carlo simulations and constrained to achieve 100% critical reliability under that definition.</w:t>
      </w:r>
    </w:p>
    <w:p>
      <w:r>
        <w:t>The current RealWorldBenchmarks repository reports four constraints. Their exact mathematical forms must be read directly from the current implementation before the PV-PP test is executed. Until then, the correct fidelity position is: four constraints are benchmark-authoritative; the literature explains their provenance but should not be used to invent or substitute a different constraint set.</w:t>
      </w:r>
    </w:p>
    <w:p>
      <w:pPr>
        <w:pStyle w:val="Heading1"/>
      </w:pPr>
      <w:r>
        <w:t>8. Uncertainty and Dynamics</w:t>
      </w:r>
    </w:p>
    <w:p>
      <w:pPr>
        <w:pStyle w:val="ListBullet"/>
      </w:pPr>
      <w:r>
        <w:t>The planning horizon used in the established LRGV work is ten years.</w:t>
      </w:r>
    </w:p>
    <w:p>
      <w:pPr>
        <w:pStyle w:val="ListBullet"/>
      </w:pPr>
      <w:r>
        <w:t>Portfolio evaluation is stochastic and uses Monte Carlo realizations rather than one deterministic forecast.</w:t>
      </w:r>
    </w:p>
    <w:p>
      <w:pPr>
        <w:pStyle w:val="ListBullet"/>
      </w:pPr>
      <w:r>
        <w:t>Relevant uncertainties include reservoir inflows, demand, and market/lease prices.</w:t>
      </w:r>
    </w:p>
    <w:p>
      <w:pPr>
        <w:pStyle w:val="ListBullet"/>
      </w:pPr>
      <w:r>
        <w:t>Lease prices vary with market conditions and have been modeled using historical LRGV price information.</w:t>
      </w:r>
    </w:p>
    <w:p>
      <w:pPr>
        <w:pStyle w:val="ListBullet"/>
      </w:pPr>
      <w:r>
        <w:t>The options instrument exists specifically to trade an upfront premium for protection against later price volatility.</w:t>
      </w:r>
    </w:p>
    <w:p>
      <w:pPr>
        <w:pStyle w:val="ListBullet"/>
      </w:pPr>
      <w:r>
        <w:t>The α/β decision rules make the portfolio adaptive: acquisition actions depend on forecasted relationships between expected supply and expected demand rather than being a single fixed monthly purchase schedule.</w:t>
      </w:r>
    </w:p>
    <w:p>
      <w:pPr>
        <w:pStyle w:val="Heading1"/>
      </w:pPr>
      <w:r>
        <w:t>9. Known Search Geometry</w:t>
      </w:r>
    </w:p>
    <w:p>
      <w:r>
        <w:t>The LRGV problem is not merely high-dimensional; published benchmarking work reports a severely constrained, stochastic problem with a disjoint best-known Pareto structure. One family of solutions relies more heavily on expensive permanent reservoir rights and tends toward higher surplus; another relies more heavily on water-market instruments and tends toward lower cost and lower surplus. Earlier random sampling reportedly found feasible solutions at only about 0.06% of 500,000 sampled decision vectors in one diagnostic study.</w:t>
      </w:r>
    </w:p>
    <w:p>
      <w:r>
        <w:t>This matters for the later PV-PP test because a failure to locate a feasible or efficient portfolio can be an algorithm/search failure rather than a representational failure. RWB-001 must therefore keep search quality separate from the question of whether PV-PP can represent the decision structure.</w:t>
      </w:r>
    </w:p>
    <w:p>
      <w:pPr>
        <w:pStyle w:val="Heading1"/>
      </w:pPr>
      <w:r>
        <w:t>10. Fidelity Freeze for the PV-PP Stage</w:t>
      </w:r>
    </w:p>
    <w:p>
      <w:pPr>
        <w:pStyle w:val="ListBullet"/>
      </w:pPr>
      <w:r>
        <w:t>The decision maker remains one city selecting a water-supply portfolio.</w:t>
      </w:r>
    </w:p>
    <w:p>
      <w:pPr>
        <w:pStyle w:val="ListBullet"/>
      </w:pPr>
      <w:r>
        <w:t>The three supply instruments remain permanent rights, adaptive options, and spot leases.</w:t>
      </w:r>
    </w:p>
    <w:p>
      <w:pPr>
        <w:pStyle w:val="ListBullet"/>
      </w:pPr>
      <w:r>
        <w:t>The eight decision variables are not collapsed or replaced merely to simplify PV-PP representation.</w:t>
      </w:r>
    </w:p>
    <w:p>
      <w:pPr>
        <w:pStyle w:val="ListBullet"/>
      </w:pPr>
      <w:r>
        <w:t>The current benchmark's five objectives and four constraints will be treated as authoritative once verified directly from the implementation.</w:t>
      </w:r>
    </w:p>
    <w:p>
      <w:pPr>
        <w:pStyle w:val="ListBullet"/>
      </w:pPr>
      <w:r>
        <w:t>The six-objective historical formulation remains provenance/context, not an excuse to alter the current benchmark.</w:t>
      </w:r>
    </w:p>
    <w:p>
      <w:pPr>
        <w:pStyle w:val="ListBullet"/>
      </w:pPr>
      <w:r>
        <w:t>Monte Carlo uncertainty is part of the source problem and may not be replaced with a single deterministic forecast without an explicit reduced-model qualification.</w:t>
      </w:r>
    </w:p>
    <w:p>
      <w:pPr>
        <w:pStyle w:val="ListBullet"/>
      </w:pPr>
      <w:r>
        <w:t>Critical shortfall protection remains a feasibility/constraint feature and may not be silently converted into a compensable preference.</w:t>
      </w:r>
    </w:p>
    <w:p>
      <w:pPr>
        <w:pStyle w:val="ListBullet"/>
      </w:pPr>
      <w:r>
        <w:t>PV-PP domains will not be assigned one-for-one from the benchmark objective vector without a separate Domain Framing analysis.</w:t>
      </w:r>
    </w:p>
    <w:p>
      <w:pPr>
        <w:pStyle w:val="ListBullet"/>
      </w:pPr>
      <w:r>
        <w:t>Search failure, policy failure, scalar-reduction failure, formalization gap, and architecture failure must remain distinct classifications.</w:t>
      </w:r>
    </w:p>
    <w:p>
      <w:pPr>
        <w:pStyle w:val="Heading1"/>
      </w:pPr>
      <w:r>
        <w:t>11. Initial Structural Reading — Not Yet a PV-PP Result</w:t>
      </w:r>
    </w:p>
    <w:p>
      <w:r>
        <w:t>Before formal translation, RWB-001 already contains several structures that are likely to matter to PV-PP: persistent productive capacity in water rights and contracted access; exchange-based acquisition through leases and options; uncertain information about future supply, demand, and price; hard catastrophic-shortfall requirements; adaptive policies conditioned on expected supply-demand conditions; and multiple non-equivalent measures of portfolio performance.</w:t>
      </w:r>
    </w:p>
    <w:p>
      <w:r>
        <w:t>Those observations are descriptive only. No claim is made here that the existing PV-PP architecture can successfully represent or select among the LRGV portfolios. That is the next stage.</w:t>
      </w:r>
    </w:p>
    <w:p>
      <w:pPr>
        <w:pStyle w:val="Heading1"/>
      </w:pPr>
      <w:r>
        <w:t>12. Source Record</w:t>
      </w:r>
    </w:p>
    <w:p>
      <w:pPr>
        <w:pStyle w:val="ListBullet"/>
      </w:pPr>
      <w:r>
        <w:t>MOEA Framework RealWorldBenchmarks repository, 'Water Supply Portfolio Planning (LRGV)' entry: 8 variables, 5 objectives, 4 constraints. https://github.com/MOEAFramework/RealWorldBenchmarks</w:t>
      </w:r>
    </w:p>
    <w:p>
      <w:pPr>
        <w:pStyle w:val="ListBullet"/>
      </w:pPr>
      <w:r>
        <w:t>Zatarain Salazar, J., Hadka, D., Reed, P., Seada, H., &amp; Deb, K. (2024). Diagnostic benchmarking of many-objective evolutionary algorithms for real-world problems. Engineering Optimization. DOI: 10.1080/0305215X.2024.2381818.</w:t>
      </w:r>
    </w:p>
    <w:p>
      <w:pPr>
        <w:pStyle w:val="ListBullet"/>
      </w:pPr>
      <w:r>
        <w:t>Kasprzyk, J. R., Reed, P. M., Kirsch, B. R., &amp; Characklis, G. W. (2012). Many-Objective de Novo Water Supply Portfolio Planning Under Deep Uncertainty. Environmental Modelling &amp; Software, 34, 87-104.</w:t>
      </w:r>
    </w:p>
    <w:p>
      <w:pPr>
        <w:pStyle w:val="ListBullet"/>
      </w:pPr>
      <w:r>
        <w:t>Kasprzyk, J. R., Reed, P. M., Kirsch, B. R., &amp; Characklis, G. W. (2009). Managing population and drought risks using many-objective water portfolio planning under uncertainty. Water Resources Research, 45.</w:t>
      </w:r>
    </w:p>
    <w:p>
      <w:pPr>
        <w:pStyle w:val="ListBullet"/>
      </w:pPr>
      <w:r>
        <w:t>Characklis, G. W., Kirsch, B. R., Ramsey, J., Dillard, K. E. M., &amp; Kelley, C. T. (2006). Developing portfolios of water supply transfers. Water Resources Research, 42.</w:t>
      </w:r>
    </w:p>
    <w:p>
      <w:pPr>
        <w:pStyle w:val="Heading1"/>
      </w:pPr>
      <w:r>
        <w:t>13. RWB-001 Stage Status</w:t>
      </w:r>
    </w:p>
    <w:p>
      <w:r>
        <w:t>SOURCE RECONSTRUCTION: COMPLETE FOR PRE-TRANSLATION BASELINE.</w:t>
      </w:r>
    </w:p>
    <w:p>
      <w:r>
        <w:t>NEXT STAGE: inspect/lock the current benchmark implementation details, then construct an explicit PV-PP representation and test plan without changing the frozen source problem.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