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2"/>
        </w:rPr>
        <w:t>PV–PP Decision Framework</w:t>
      </w:r>
    </w:p>
    <w:p>
      <w:pPr>
        <w:jc w:val="center"/>
      </w:pPr>
      <w:r>
        <w:t>Memory Interface and Pipeline Integration - Active Supporting Specification</w:t>
      </w:r>
    </w:p>
    <w:p>
      <w:pPr>
        <w:jc w:val="center"/>
      </w:pPr>
      <w:r>
        <w:t>Version v0.5 (Version 2.1 Stack-Input and Retrieval Governance Reconciliation)</w:t>
      </w:r>
    </w:p>
    <w:p>
      <w:r>
        <w:t>Status: Active architecture-supporting specification. Supersedes v0.3 and earlier integration drafts.</w:t>
      </w:r>
    </w:p>
    <w:p>
      <w:r>
        <w:t>Authority boundary: Memory is an informational-persistence subsystem. This specification is the active general owner of the M_i(t) / retrieval interface and its licensed pipeline routes. It may alter perceived state and historically grounded expectations only through licensed interfaces. It does not replace the operator stack, redefine P_i(t), or operate as a late-stage override.</w:t>
      </w:r>
    </w:p>
    <w:tbl>
      <w:tblPr>
        <w:tblW w:type="auto" w:w="0"/>
        <w:jc w:val="center"/>
        <w:tblLayout w:type="fixed"/>
        <w:tblLook w:firstColumn="1" w:firstRow="1" w:lastColumn="0" w:lastRow="0" w:noHBand="0" w:noVBand="1" w:val="04A0"/>
      </w:tblPr>
      <w:tblGrid>
        <w:gridCol w:w="4824"/>
        <w:gridCol w:w="4824"/>
      </w:tblGrid>
      <w:tr>
        <w:tc>
          <w:tcPr>
            <w:tcW w:type="dxa" w:w="2592"/>
            <w:vAlign w:val="center"/>
          </w:tcPr>
          <w:p>
            <w:pPr>
              <w:spacing w:after="40" w:before="40"/>
            </w:pPr>
            <w:r>
              <w:rPr>
                <w:b/>
              </w:rPr>
              <w:t>Category</w:t>
            </w:r>
          </w:p>
        </w:tc>
        <w:tc>
          <w:tcPr>
            <w:tcW w:type="dxa" w:w="6624"/>
            <w:vAlign w:val="center"/>
          </w:tcPr>
          <w:p>
            <w:pPr>
              <w:spacing w:after="40" w:before="40"/>
            </w:pPr>
            <w:r>
              <w:t>Architecture Supporting</w:t>
            </w:r>
          </w:p>
        </w:tc>
      </w:tr>
      <w:tr>
        <w:tc>
          <w:tcPr>
            <w:tcW w:type="dxa" w:w="2592"/>
            <w:vAlign w:val="center"/>
          </w:tcPr>
          <w:p>
            <w:pPr>
              <w:spacing w:after="40" w:before="40"/>
            </w:pPr>
            <w:r>
              <w:rPr>
                <w:b/>
              </w:rPr>
              <w:t>Purpose</w:t>
            </w:r>
          </w:p>
        </w:tc>
        <w:tc>
          <w:tcPr>
            <w:tcW w:type="dxa" w:w="6624"/>
            <w:vAlign w:val="center"/>
          </w:tcPr>
          <w:p>
            <w:pPr>
              <w:spacing w:after="40" w:before="40"/>
            </w:pPr>
            <w:r>
              <w:t>Defines the interface contract between memory state, retrieval outputs, and the Layer 2 decision pipeline.</w:t>
            </w:r>
          </w:p>
        </w:tc>
      </w:tr>
    </w:tbl>
    <w:p/>
    <w:p>
      <w:pPr>
        <w:pStyle w:val="Heading1"/>
      </w:pPr>
      <w:r>
        <w:t>1. Purpose</w:t>
      </w:r>
    </w:p>
    <w:p>
      <w:r>
        <w:t>This document defines how memory interfaces with the existing PV–PP architecture. Its job is not to restate the general idea that memory is selective, reconstructive, and quality-variable. That has already been established. The job here is narrower and more important: to specify exactly what memory contributes to the decision pipeline, in what form it contributes it, and what it is not permitted to do.</w:t>
      </w:r>
    </w:p>
    <w:p>
      <w:r>
        <w:t>This document therefore establishes:</w:t>
      </w:r>
    </w:p>
    <w:p>
      <w:pPr>
        <w:pStyle w:val="ListBullet"/>
      </w:pPr>
      <w:r>
        <w:t>the memory state and retrieval objects used by the agent or system</w:t>
      </w:r>
    </w:p>
    <w:p>
      <w:pPr>
        <w:pStyle w:val="ListBullet"/>
      </w:pPr>
      <w:r>
        <w:t>the difference between stored memory state and retrieval output</w:t>
      </w:r>
    </w:p>
    <w:p>
      <w:pPr>
        <w:pStyle w:val="ListBullet"/>
      </w:pPr>
      <w:r>
        <w:t>the information-quality markers attached to remembered content</w:t>
      </w:r>
    </w:p>
    <w:p>
      <w:pPr>
        <w:pStyle w:val="ListBullet"/>
      </w:pPr>
      <w:r>
        <w:t>the operators that may consume raw retrieval, interpreted retrieval, or memory-derived state</w:t>
      </w:r>
    </w:p>
    <w:p>
      <w:pPr>
        <w:pStyle w:val="ListBullet"/>
      </w:pPr>
      <w:r>
        <w:t>the operators that may consume only memory-shaped perception or derived outputs</w:t>
      </w:r>
    </w:p>
    <w:p>
      <w:pPr>
        <w:pStyle w:val="ListBullet"/>
      </w:pPr>
      <w:r>
        <w:t>the prohibitions required to stop memory from becoming an unbounded override channel</w:t>
      </w:r>
    </w:p>
    <w:p>
      <w:pPr>
        <w:pStyle w:val="Heading1"/>
      </w:pPr>
      <w:r>
        <w:t>2. Problem Statement</w:t>
      </w:r>
    </w:p>
    <w:p>
      <w:r>
        <w:t>The architecture already includes memory as a placeholder, but a placeholder is not enough. If memory remains abstract, then later traces will start using it informally wherever a judgment becomes difficult. That is a design failure.</w:t>
      </w:r>
    </w:p>
    <w:p>
      <w:r>
        <w:t>The main risk is obvious. Memory can easily become a garbage chute for unresolved ambiguity. A later analyst can always claim that the agent "remembers" a threat, a commitment, a trust relationship, a dependency, or a past failure. If the interface is not locked down, memory will silently perform the work of perception, pressure amplification, horizon adjustment, governing recognition, and even policy justification without any structural discipline.</w:t>
      </w:r>
    </w:p>
    <w:p>
      <w:r>
        <w:t>This document blocks that failure by defining a bounded interface contract.</w:t>
      </w:r>
    </w:p>
    <w:p>
      <w:pPr>
        <w:pStyle w:val="Heading1"/>
      </w:pPr>
      <w:r>
        <w:t>3. Core Principle</w:t>
      </w:r>
    </w:p>
    <w:p>
      <w:r>
        <w:t>Memory is historically conditioned informational persistence that influences interpretation and decision only through licensed pathways.</w:t>
      </w:r>
    </w:p>
    <w:p>
      <w:r>
        <w:t>More precisely:</w:t>
      </w:r>
    </w:p>
    <w:p>
      <w:pPr>
        <w:pStyle w:val="ListBullet"/>
      </w:pPr>
      <w:r>
        <w:t>memory stores retained historical structure rather than exact replay</w:t>
      </w:r>
    </w:p>
    <w:p>
      <w:pPr>
        <w:pStyle w:val="ListBullet"/>
      </w:pPr>
      <w:r>
        <w:t>retrieval produces outputs that are distinct from stored traces</w:t>
      </w:r>
    </w:p>
    <w:p>
      <w:pPr>
        <w:pStyle w:val="ListBullet"/>
      </w:pPr>
      <w:r>
        <w:t>retrieval outputs carry information-quality markers</w:t>
      </w:r>
    </w:p>
    <w:p>
      <w:pPr>
        <w:pStyle w:val="ListBullet"/>
      </w:pPr>
      <w:r>
        <w:t>memory may shape perceived state, interpretation, partner-specific expectation, confidence, and reachable-path expectations</w:t>
      </w:r>
    </w:p>
    <w:p>
      <w:pPr>
        <w:pStyle w:val="ListBullet"/>
      </w:pPr>
      <w:r>
        <w:t>memory may not silently replace objective state, erase feasibility limits, or justify a preferred policy without explicit architectural basis</w:t>
      </w:r>
    </w:p>
    <w:p>
      <w:pPr>
        <w:pStyle w:val="Heading1"/>
      </w:pPr>
      <w:r>
        <w:t>4. Architectural Position</w:t>
      </w:r>
    </w:p>
    <w:p>
      <w:r>
        <w:t>The canonical Layer 2 ordering remains:</w:t>
      </w:r>
    </w:p>
    <w:p>
      <w:r>
        <w:t>[P_I(t)] [O_I(t)] adjacent typed inputs; canonical Layer 2 sequence: P_I(t) → Φ → H → G → ℛ → Graph Layer / seed substrate → Π → Π completeness validation → Constraints → Domain Framing → Adequacy → Σ → ε</w:t>
      </w:r>
    </w:p>
    <w:p>
      <w:pPr/>
      <w:r>
        <w:t>P_I(t), not PPP alone, is the structured perceived decision-state input. PPP is a component of P_I(t). O_I(t), where present, is an adjacent qualified purpose/objective input and is not part of perceived state or the operator sequence. Memory remains governed through its licensed receiving interfaces and does not become a separate stack stage.</w:t>
      </w:r>
    </w:p>
    <w:p>
      <w:r>
        <w:t>Memory is not inserted as a separate late-stage override operator. That would be a mistake. Memory instead operates as a historically conditioned input structure that can enter earlier parts of the pipeline under controlled rules.</w:t>
      </w:r>
    </w:p>
    <w:p>
      <w:r>
        <w:t>The primary architectural stance of this document is therefore:</w:t>
      </w:r>
    </w:p>
    <w:p>
      <w:pPr>
        <w:pStyle w:val="ListBullet"/>
      </w:pPr>
      <w:r>
        <w:t>memory may condition upstream interpretation</w:t>
      </w:r>
    </w:p>
    <w:p>
      <w:pPr>
        <w:pStyle w:val="ListBullet"/>
      </w:pPr>
      <w:r>
        <w:t>memory may condition historically grounded expectation formation</w:t>
      </w:r>
    </w:p>
    <w:p>
      <w:pPr>
        <w:pStyle w:val="ListBullet"/>
      </w:pPr>
      <w:r>
        <w:t>memory may condition confidence in perceived or inferred structure while confidence remains distinct from accuracy</w:t>
      </w:r>
    </w:p>
    <w:p>
      <w:pPr>
        <w:pStyle w:val="ListBullet"/>
      </w:pPr>
      <w:r>
        <w:t>memory may not function as a downstream narrative override once the pipeline has already produced an inconvenient result</w:t>
      </w:r>
    </w:p>
    <w:p>
      <w:pPr>
        <w:pStyle w:val="Heading1"/>
      </w:pPr>
      <w:r>
        <w:t>4A. Position Within Persistent State</w:t>
      </w:r>
    </w:p>
    <w:p>
      <w:r>
        <w:t>Memory belongs to informational persistence rather than actual productive capability or execution persistence.</w:t>
      </w:r>
    </w:p>
    <w:p>
      <w:r>
        <w:t>A compact architecture is: actual state S_i(t) = [PP_i, SPV_i, AVS_i, X_i]; informational persistence includes M_i(t) and K_i(t) as distinct retained informational structures; perceived decision state P_i(t) = [PPP_i, SPVhat_i, PVS_i, Xhat_i] together with other perception-owned interpreted content where defined; execution persistence remains separately owned.</w:t>
        <w:br/>
        <w:br/>
        <w:t>M_i(t) stores retained historical traces and historically learned structure. K_i(t) stores generalized anticipatory/expectation structure. Current belief/proposition content is not established here as a separate canonical B_i(t) persistence object; where needed it belongs to perception/interpretation or another explicit owner. Confidence is likewise not established as one global C_i(t) truth-like state. Confidence/reliability is primarily object-local or retrieval-local metadata, with any future aggregate confidence state requiring a separate owner and crosswalk.</w:t>
      </w:r>
    </w:p>
    <w:p>
      <w:r>
        <w:t>The same event may update M_i(t), K_i(t), P_i(t), confidence/quality metadata, and other owned structures, but those updates are distinct and require separately justified routes. Memory persistence must not be collapsed into actual state S_i(t), present perception P_i(t), or execution persistence.</w:t>
      </w:r>
    </w:p>
    <w:p>
      <w:r/>
    </w:p>
    <w:p>
      <w:pPr>
        <w:pStyle w:val="Heading1"/>
      </w:pPr>
      <w:r>
        <w:t>4B. R4/R22 Informational-Persistence Authority</w:t>
      </w:r>
    </w:p>
    <w:p>
      <w:r>
        <w:t>This specification owns the general distinction between retained memory M_i(t) and retrieval R^M_i(t,q), and the licensing rules by which memory-derived information enters the decision architecture. K_i(t) is recognized here as a distinct generalized expectation structure but its detailed expectation/update semantics may be owned by a dedicated expectation/projection specification. Confidence and source-quality dimensions are metadata about information objects; they must not be treated as truth. Typed relational memory is a specialization of M/R^M. Contaminated-substrate effects on Graph/Π completeness remain separately governed and are not repaired inside this interface.</w:t>
      </w:r>
    </w:p>
    <w:p>
      <w:pPr>
        <w:pStyle w:val="Heading1"/>
      </w:pPr>
      <w:r>
        <w:t>5. Memory State Object</w:t>
      </w:r>
    </w:p>
    <w:p>
      <w:r>
        <w:t>Define the agent’s memory state as:</w:t>
      </w:r>
    </w:p>
    <w:p>
      <w:r>
        <w:t>M_I(t)</w:t>
      </w:r>
    </w:p>
    <w:p>
      <w:r>
        <w:t>This state is persistent across time and is updated as the system observes, acts, and later interprets outcomes.</w:t>
      </w:r>
    </w:p>
    <w:p>
      <w:r>
        <w:t>M_I(t) is not a single undifferentiated store. At minimum it should contain the following structured components.</w:t>
      </w:r>
    </w:p>
    <w:p>
      <w:pPr>
        <w:pStyle w:val="Heading1"/>
      </w:pPr>
      <w:r>
        <w:t>5.1 Trace Layer</w:t>
      </w:r>
    </w:p>
    <w:p>
      <w:r>
        <w:t>Retained episodic or quasi-episodic traces of prior events, interactions, and outcomes.</w:t>
      </w:r>
    </w:p>
    <w:p>
      <w:r>
        <w:t>These traces may include:</w:t>
      </w:r>
    </w:p>
    <w:p>
      <w:pPr>
        <w:pStyle w:val="ListBullet"/>
      </w:pPr>
      <w:r>
        <w:t>event gist</w:t>
      </w:r>
    </w:p>
    <w:p>
      <w:pPr>
        <w:pStyle w:val="ListBullet"/>
      </w:pPr>
      <w:r>
        <w:t>sequence fragments</w:t>
      </w:r>
    </w:p>
    <w:p>
      <w:pPr>
        <w:pStyle w:val="ListBullet"/>
      </w:pPr>
      <w:r>
        <w:t>agent-role involvement</w:t>
      </w:r>
    </w:p>
    <w:p>
      <w:pPr>
        <w:pStyle w:val="ListBullet"/>
      </w:pPr>
      <w:r>
        <w:t>threat indicators</w:t>
      </w:r>
    </w:p>
    <w:p>
      <w:pPr>
        <w:pStyle w:val="ListBullet"/>
      </w:pPr>
      <w:r>
        <w:t>outcome markers</w:t>
      </w:r>
    </w:p>
    <w:p>
      <w:pPr>
        <w:pStyle w:val="ListBullet"/>
      </w:pPr>
      <w:r>
        <w:t>salience tags</w:t>
      </w:r>
    </w:p>
    <w:p>
      <w:pPr>
        <w:pStyle w:val="ListBullet"/>
      </w:pPr>
      <w:r>
        <w:t>commitment or violation tags</w:t>
      </w:r>
    </w:p>
    <w:p>
      <w:pPr>
        <w:pStyle w:val="Heading1"/>
      </w:pPr>
      <w:r>
        <w:t>5.2 Pattern Layer</w:t>
      </w:r>
    </w:p>
    <w:p>
      <w:r>
        <w:t>Generalized learned structures abstracted from repeated traces.</w:t>
      </w:r>
    </w:p>
    <w:p>
      <w:r>
        <w:t>These may include:</w:t>
      </w:r>
    </w:p>
    <w:p>
      <w:pPr>
        <w:pStyle w:val="ListBullet"/>
      </w:pPr>
      <w:r>
        <w:t>recurring threat precursors</w:t>
      </w:r>
    </w:p>
    <w:p>
      <w:pPr>
        <w:pStyle w:val="ListBullet"/>
      </w:pPr>
      <w:r>
        <w:t>recurring stabilizers</w:t>
      </w:r>
    </w:p>
    <w:p>
      <w:pPr>
        <w:pStyle w:val="ListBullet"/>
      </w:pPr>
      <w:r>
        <w:t>trust and unreliability patterns</w:t>
      </w:r>
    </w:p>
    <w:p>
      <w:pPr>
        <w:pStyle w:val="ListBullet"/>
      </w:pPr>
      <w:r>
        <w:t>environmental regularities</w:t>
      </w:r>
    </w:p>
    <w:p>
      <w:pPr>
        <w:pStyle w:val="ListBullet"/>
      </w:pPr>
      <w:r>
        <w:t>institutional behavior patterns</w:t>
      </w:r>
    </w:p>
    <w:p>
      <w:pPr>
        <w:pStyle w:val="ListBullet"/>
      </w:pPr>
      <w:r>
        <w:t>learned recovery corridors and repeated dead ends</w:t>
      </w:r>
    </w:p>
    <w:p>
      <w:pPr>
        <w:pStyle w:val="Heading1"/>
      </w:pPr>
      <w:r>
        <w:t>5.3 Commitment-History Layer</w:t>
      </w:r>
    </w:p>
    <w:p>
      <w:r>
        <w:t>Historically retained evidence concerning obligations, promises, debts, role burdens, and unfinished commitments that remain decision-relevant across time.</w:t>
      </w:r>
    </w:p>
    <w:p>
      <w:r>
        <w:t>This layer preserves commitment history. Current active commitments, active policies, and encumbered resources belong in execution persistence rather than in memory alone.</w:t>
      </w:r>
    </w:p>
    <w:p>
      <w:pPr>
        <w:pStyle w:val="Heading1"/>
      </w:pPr>
      <w:r>
        <w:t>5.4 Counterparty, Reliability, and Source Layer</w:t>
      </w:r>
    </w:p>
    <w:p>
      <w:r>
        <w:t>Retained historical assessments concerning the reliability of agents, institutions, channels, and sources of information.</w:t>
      </w:r>
    </w:p>
    <w:p>
      <w:r>
        <w:t>This includes relationship-specific history and epistemic source history. Generic trust should not be stored as one undifferentiated scalar.</w:t>
      </w:r>
    </w:p>
    <w:p>
      <w:pPr>
        <w:pStyle w:val="Heading1"/>
      </w:pPr>
      <w:r>
        <w:t>5.5 Information-Quality Layer</w:t>
      </w:r>
    </w:p>
    <w:p>
      <w:r>
        <w:t>Markers attached to stored material or to later retrievals concerning reliability, completeness, distortion risk, contamination risk, and confidence.</w:t>
      </w:r>
    </w:p>
    <w:p>
      <w:r>
        <w:t>Without this layer, remembered content will be treated as flat fact. That would be wrong.</w:t>
      </w:r>
    </w:p>
    <w:p>
      <w:pPr>
        <w:pStyle w:val="Heading1"/>
      </w:pPr>
      <w:r>
        <w:t>6. Retrieval Output</w:t>
      </w:r>
    </w:p>
    <w:p>
      <w:r>
        <w:t>Stored memory state is not identical to retrieval output.</w:t>
      </w:r>
    </w:p>
    <w:p>
      <w:r>
        <w:t>Define retrieval output as:</w:t>
      </w:r>
    </w:p>
    <w:p>
      <w:r>
        <w:t>R^M_I(t, q)</w:t>
      </w:r>
    </w:p>
    <w:p>
      <w:r>
        <w:t>where q denotes the current retrieval cue set, interpretive context, or query posture.</w:t>
      </w:r>
    </w:p>
    <w:p>
      <w:r>
        <w:t>The point of this distinction is simple. M_I(t) is the retained historical substrate. R^M_I(t, q) is the present-time reconstruction drawn from that substrate under current conditions.</w:t>
      </w:r>
    </w:p>
    <w:p>
      <w:r>
        <w:t>Therefore the architecture must never act as though stored memory content and recalled memory content are automatically identical.</w:t>
      </w:r>
    </w:p>
    <w:p>
      <w:pPr>
        <w:pStyle w:val="Heading1"/>
      </w:pPr>
      <w:r>
        <w:t>6.1 Retrieval Inputs</w:t>
      </w:r>
    </w:p>
    <w:p>
      <w:r>
        <w:t>Retrieval may depend on:</w:t>
      </w:r>
    </w:p>
    <w:p>
      <w:pPr>
        <w:pStyle w:val="ListBullet"/>
      </w:pPr>
      <w:r>
        <w:t>current cues and observations</w:t>
      </w:r>
    </w:p>
    <w:p>
      <w:pPr>
        <w:pStyle w:val="ListBullet"/>
      </w:pPr>
      <w:r>
        <w:t>active threat or recovery posture</w:t>
      </w:r>
    </w:p>
    <w:p>
      <w:pPr>
        <w:pStyle w:val="ListBullet"/>
      </w:pPr>
      <w:r>
        <w:t>role commitments</w:t>
      </w:r>
    </w:p>
    <w:p>
      <w:pPr>
        <w:pStyle w:val="ListBullet"/>
      </w:pPr>
      <w:r>
        <w:t>current framing of the problem</w:t>
      </w:r>
    </w:p>
    <w:p>
      <w:pPr>
        <w:pStyle w:val="ListBullet"/>
      </w:pPr>
      <w:r>
        <w:t>associated memory activation</w:t>
      </w:r>
    </w:p>
    <w:p>
      <w:pPr>
        <w:pStyle w:val="ListBullet"/>
      </w:pPr>
      <w:r>
        <w:t>current salience structure</w:t>
      </w:r>
    </w:p>
    <w:p>
      <w:pPr>
        <w:pStyle w:val="Heading1"/>
      </w:pPr>
      <w:r>
        <w:t>6.2 Retrieval Output Structure</w:t>
      </w:r>
    </w:p>
    <w:p>
      <w:r>
        <w:t>A retrieval output should be represented as a structured package, not as a single sentence-like recollection.</w:t>
      </w:r>
    </w:p>
    <w:p>
      <w:r>
        <w:t>At minimum a retrieval package may include:</w:t>
        <w:br/>
        <w:t>• remembered content</w:t>
        <w:br/>
        <w:t>• retrieval confidence</w:t>
        <w:br/>
        <w:t>• source-basis tag</w:t>
        <w:br/>
        <w:t>• completeness marker</w:t>
        <w:br/>
        <w:t>• distortion-risk marker</w:t>
        <w:br/>
        <w:t>• recency or freshness marker</w:t>
        <w:br/>
        <w:t>• cross-confirmation / corroboration status</w:t>
        <w:br/>
        <w:t>• relevance and scope marker</w:t>
      </w:r>
    </w:p>
    <w:p>
      <w:pPr>
        <w:pStyle w:val="ListBullet"/>
      </w:pPr>
      <w:r>
        <w:t>remembered content</w:t>
      </w:r>
    </w:p>
    <w:p>
      <w:pPr>
        <w:pStyle w:val="ListBullet"/>
      </w:pPr>
      <w:r>
        <w:t>retrieval confidence</w:t>
      </w:r>
    </w:p>
    <w:p>
      <w:pPr>
        <w:pStyle w:val="ListBullet"/>
      </w:pPr>
      <w:r>
        <w:t>source-basis tag</w:t>
      </w:r>
    </w:p>
    <w:p>
      <w:pPr>
        <w:pStyle w:val="ListBullet"/>
      </w:pPr>
      <w:r>
        <w:t>distortion-risk marker</w:t>
      </w:r>
    </w:p>
    <w:p>
      <w:pPr>
        <w:pStyle w:val="ListBullet"/>
      </w:pPr>
      <w:r>
        <w:t>recency or freshness marker</w:t>
      </w:r>
    </w:p>
    <w:p>
      <w:pPr>
        <w:pStyle w:val="ListBullet"/>
      </w:pPr>
      <w:r>
        <w:t>cross-confirmation status</w:t>
      </w:r>
    </w:p>
    <w:p>
      <w:pPr>
        <w:pStyle w:val="ListBullet"/>
      </w:pPr>
      <w:r>
        <w:t>relevance-to-current-query marker</w:t>
      </w:r>
    </w:p>
    <w:p>
      <w:pPr>
        <w:pStyle w:val="Heading1"/>
      </w:pPr>
      <w:r>
        <w:t>7. Information-Quality Markers</w:t>
      </w:r>
    </w:p>
    <w:p>
      <w:r>
        <w:t>Remembered content must not enter the decision pipeline as if all memory were equally trustworthy.</w:t>
      </w:r>
    </w:p>
    <w:p>
      <w:r>
        <w:t>At minimum, the following quality dimensions should be available wherever memory affects operator behavior:</w:t>
      </w:r>
    </w:p>
    <w:p>
      <w:pPr>
        <w:pStyle w:val="Heading1"/>
      </w:pPr>
      <w:r>
        <w:t>7.1 Accuracy</w:t>
      </w:r>
    </w:p>
    <w:p>
      <w:r>
        <w:t>Estimated correspondence between remembered content and underlying historical reality. This may itself be uncertain.</w:t>
      </w:r>
    </w:p>
    <w:p>
      <w:pPr>
        <w:pStyle w:val="Heading1"/>
      </w:pPr>
      <w:r>
        <w:t>7.2 Completeness</w:t>
      </w:r>
    </w:p>
    <w:p>
      <w:r>
        <w:t>Whether the retrieved memory appears fragmentary, partial, or adequately developed for the current use.</w:t>
      </w:r>
    </w:p>
    <w:p>
      <w:pPr>
        <w:pStyle w:val="Heading1"/>
      </w:pPr>
      <w:r>
        <w:t>7.3 Confidence</w:t>
      </w:r>
    </w:p>
    <w:p>
      <w:r>
        <w:t>The system's degree of confidence in the retrieved content. Confidence is not accuracy or truth. Under R4/R22 it is treated primarily as metadata attached to a retrieval, proposition, source assessment, or other information object rather than as a single global scalar state.</w:t>
      </w:r>
    </w:p>
    <w:p>
      <w:pPr>
        <w:pStyle w:val="Heading1"/>
      </w:pPr>
      <w:r>
        <w:t>7.4 Distortion Risk</w:t>
      </w:r>
    </w:p>
    <w:p>
      <w:r>
        <w:t>Estimated probability that present retrieval has been altered by later reinterpretation, emotional contamination, repetition effects, source blending, or inferential filling-in.</w:t>
      </w:r>
    </w:p>
    <w:p>
      <w:pPr>
        <w:pStyle w:val="Heading1"/>
      </w:pPr>
      <w:r>
        <w:t>7.5 Source Reliability</w:t>
      </w:r>
    </w:p>
    <w:p>
      <w:r>
        <w:t>Historical reliability of the source from which the remembered content arose, including self-observation, testimony, institutional signals, or repeated corroboration.</w:t>
      </w:r>
    </w:p>
    <w:p>
      <w:pPr>
        <w:pStyle w:val="Heading1"/>
      </w:pPr>
      <w:r>
        <w:t>7.6 Cross-Check Status</w:t>
      </w:r>
    </w:p>
    <w:p>
      <w:r>
        <w:t>Whether remembered content has been reinforced, contradicted, or left unverified by later observation, other memory traces, or external evidence.</w:t>
      </w:r>
    </w:p>
    <w:p>
      <w:pPr>
        <w:pStyle w:val="Heading2"/>
      </w:pPr>
      <w:r>
        <w:t>7.7 Authority, Applicability, and Permitted Use</w:t>
      </w:r>
    </w:p>
    <w:p>
      <w:pPr/>
      <w:r>
        <w:t>Information quality, source authority, and applicability or permitted use are distinct. A high-confidence or historically reliable retrieval is not thereby authoritative for the current decision, and an authoritative item is not thereby permitted for every objective, role, domain, or use. Where material, retrieval must preserve the metadata needed to evaluate these distinctions at the authorized downstream surface.</w:t>
      </w:r>
    </w:p>
    <w:p>
      <w:pPr/>
      <w:r>
        <w:t>quality ≠ authority ≠ applicability/permitted use</w:t>
      </w:r>
    </w:p>
    <w:p>
      <w:pPr/>
      <w:r>
        <w:t>Objective relevance or query relevance does not confer information-use authority. Information may be highly relevant to a current purpose while remaining prohibited, superseded, outside scope, or otherwise unauthorized for that use.</w:t>
      </w:r>
    </w:p>
    <w:p>
      <w:pPr>
        <w:pStyle w:val="Heading2"/>
      </w:pPr>
      <w:r>
        <w:t>7.8 Disposition-Preserving Retrieval</w:t>
      </w:r>
    </w:p>
    <w:p>
      <w:pPr/>
      <w:r>
        <w:t>If retained material carries a disposition that is material to its present use, retrieval must preserve that disposition sufficiently to prevent the content from reappearing as ordinary current positive evidence. Material dispositions include, where applicable, rejected, superseded, defective, prohibited-for-use, historically valid but noncurrent, unresolved, contradicted, or equivalent statuses.</w:t>
      </w:r>
    </w:p>
    <w:p>
      <w:pPr/>
      <w:r>
        <w:t>Retrieval(content) ⇒ retrieval(material disposition), where the disposition is material to interpretation, authority, applicability, or current use.</w:t>
      </w:r>
    </w:p>
    <w:p>
      <w:pPr/>
      <w:r>
        <w:t>This requirement does not require every retrieval to reproduce the complete history of the item. It requires preservation of the status necessary to avoid semantic resurrection of information that the governed system has already qualified.</w:t>
      </w:r>
    </w:p>
    <w:p>
      <w:pPr>
        <w:pStyle w:val="Heading2"/>
      </w:pPr>
      <w:r>
        <w:t>7.9 Temporal Provenance</w:t>
      </w:r>
    </w:p>
    <w:p>
      <w:pPr/>
      <w:r>
        <w:t>Where the distinction is material, an information object or retrieval should distinguish the time at which an event or assertion applied in the modeled world from the time at which the system observed, learned, recorded, or accepted it. A compact notation is t_valid for modeled-world validity and t_record/knowledge for system acquisition or record time.</w:t>
      </w:r>
    </w:p>
    <w:p>
      <w:pPr/>
      <w:r>
        <w:t>This is a narrow provenance requirement, not a mandate for universal bitemporal storage. The distinction is required only where collapsing the two times could change interpretation, authority, applicability, replay, or downstream decision structure.</w:t>
      </w:r>
    </w:p>
    <w:p>
      <w:pPr>
        <w:pStyle w:val="Heading1"/>
      </w:pPr>
      <w:r>
        <w:t>8. Permitted Entry Points</w:t>
      </w:r>
    </w:p>
    <w:p>
      <w:r>
        <w:t>Memory does not enter every operator in the same way. That distinction must be explicit.</w:t>
      </w:r>
    </w:p>
    <w:p>
      <w:pPr>
        <w:pStyle w:val="Heading1"/>
      </w:pPr>
      <w:r>
        <w:t>8.1 Memory and Perceived-State Construction</w:t>
      </w:r>
    </w:p>
    <w:p>
      <w:r>
        <w:t>Memory may directly influence construction of the broader perceived decision state through the perception/interpretation architecture. This includes licensed influence on PPP, perceived SPV, PVS, perceived context, interpreted propositions, expectation-relevant cues, and confidence/quality assessments. The memory interface does not itself redefine the membership of P_i(t).</w:t>
      </w:r>
    </w:p>
    <w:p>
      <w:r>
        <w:t>This is the most natural entry point. Current observation is rarely interpreted in a vacuum. Memory can shape what the agent takes the current situation to mean, what patterns it recognizes, what ambiguities it notices, and how much confidence it assigns to present perception.</w:t>
      </w:r>
    </w:p>
    <w:p>
      <w:r>
        <w:t>Permitted memory effects here include:</w:t>
      </w:r>
    </w:p>
    <w:p>
      <w:pPr>
        <w:pStyle w:val="ListBullet"/>
      </w:pPr>
      <w:r>
        <w:t>pattern recognition based on prior traces</w:t>
      </w:r>
    </w:p>
    <w:p>
      <w:pPr>
        <w:pStyle w:val="ListBullet"/>
      </w:pPr>
      <w:r>
        <w:t>source weighting</w:t>
      </w:r>
    </w:p>
    <w:p>
      <w:pPr>
        <w:pStyle w:val="ListBullet"/>
      </w:pPr>
      <w:r>
        <w:t>trust calibration</w:t>
      </w:r>
    </w:p>
    <w:p>
      <w:pPr>
        <w:pStyle w:val="ListBullet"/>
      </w:pPr>
      <w:r>
        <w:t>threat cue interpretation</w:t>
      </w:r>
    </w:p>
    <w:p>
      <w:pPr>
        <w:pStyle w:val="ListBullet"/>
      </w:pPr>
      <w:r>
        <w:t>recognition of repeated instability or repeated recovery signals</w:t>
      </w:r>
    </w:p>
    <w:p>
      <w:pPr>
        <w:pStyle w:val="Heading1"/>
      </w:pPr>
      <w:r>
        <w:t>8.2 Memory-Derived State and Φ</w:t>
      </w:r>
    </w:p>
    <w:p>
      <w:r>
        <w:t>Memory may influence pressure interpretation through historically grounded persistence, accumulation, learned threat structure, and interpreted retrieval. Raw memory should not be treated as an unbounded pressure input.</w:t>
      </w:r>
    </w:p>
    <w:p>
      <w:r>
        <w:t>Permitted examples:</w:t>
      </w:r>
    </w:p>
    <w:p>
      <w:pPr>
        <w:pStyle w:val="ListBullet"/>
      </w:pPr>
      <w:r>
        <w:t>remembered repeated near-failures amplifying perceived constraint pressure</w:t>
      </w:r>
    </w:p>
    <w:p>
      <w:pPr>
        <w:pStyle w:val="ListBullet"/>
      </w:pPr>
      <w:r>
        <w:t>remembered persistent betrayal or unreliability increasing social or institutional pressure</w:t>
      </w:r>
    </w:p>
    <w:p>
      <w:pPr>
        <w:pStyle w:val="ListBullet"/>
      </w:pPr>
      <w:r>
        <w:t>remembered accumulated burden preventing the system from treating the current state as isolated</w:t>
      </w:r>
    </w:p>
    <w:p>
      <w:pPr>
        <w:pStyle w:val="Heading1"/>
      </w:pPr>
      <w:r>
        <w:t>8.3 Memory-Derived State and H</w:t>
      </w:r>
    </w:p>
    <w:p>
      <w:r>
        <w:t>Memory may influence horizon estimation only where historically grounded retrieval or K_i(t)-based expectation materially affects expected degradation or recovery behavior. H must not become a raw-memory interpreter. Memory-derived horizon influence must arrive through an authorized perceived/expectation interface with relevant quality markers visible.</w:t>
      </w:r>
    </w:p>
    <w:p>
      <w:r>
        <w:t>This must be done carefully. H must not collapse into subjective fear or wishful memory. A memory-shaped horizon estimate is licensed only where remembered pattern is relevant to transition expectation and where the information-quality markers remain visible.</w:t>
      </w:r>
    </w:p>
    <w:p>
      <w:pPr>
        <w:pStyle w:val="Heading1"/>
      </w:pPr>
      <w:r>
        <w:t>8.4 Memory-Derived State and G</w:t>
      </w:r>
    </w:p>
    <w:p>
      <w:r>
        <w:t>Memory may inform governing-domain identification when path-dependent dependency, obligation, or repeated collapse linkage is only visible historically.</w:t>
      </w:r>
    </w:p>
    <w:p>
      <w:r>
        <w:t>Example: a currently quiet support domain may still be governing if memory indicates it repeatedly fails first under the same pressure pattern and destroys the nominal headline domain soon afterward.</w:t>
      </w:r>
    </w:p>
    <w:p>
      <w:r>
        <w:t>That said, memory does not get to invent governing domains merely because a past event was emotionally salient.</w:t>
      </w:r>
    </w:p>
    <w:p>
      <w:pPr>
        <w:pStyle w:val="Heading1"/>
      </w:pPr>
      <w:r>
        <w:t>8.5 Memory and Reachability / Graph Construction</w:t>
      </w:r>
    </w:p>
    <w:p>
      <w:r>
        <w:t>Memory may influence reachable-path construction where historically grounded evidence about institutional behavior, trust, access reliability, or prior failed attempts changes the interpretation of reachability. This influence must remain attributable to retrieval or expectation evidence and its quality markers; memory does not create objective reachability by assertion.</w:t>
      </w:r>
    </w:p>
    <w:p>
      <w:r>
        <w:t>This is a strong use case. A path that is formally possible may not be realistically reachable if remembered history shows consistent denial, delay, deception, or failure.</w:t>
      </w:r>
    </w:p>
    <w:p>
      <w:pPr>
        <w:pStyle w:val="Heading1"/>
      </w:pPr>
      <w:r>
        <w:t>9. Restricted or Indirect Entry Points</w:t>
      </w:r>
    </w:p>
    <w:p>
      <w:r>
        <w:t>Some operators should not consume raw memory directly.</w:t>
      </w:r>
    </w:p>
    <w:p>
      <w:pPr>
        <w:pStyle w:val="Heading1"/>
      </w:pPr>
      <w:r>
        <w:t>9.1 Π</w:t>
      </w:r>
    </w:p>
    <w:p>
      <w:r>
        <w:t>Π may consume graph-borne, expectation-shaped, confidence-marked, or perception-shaped outputs that already reflect licensed memory effects. Π should not become a free-form memory interpreter. Otherwise policy construction will drift into narrative improvisation.</w:t>
      </w:r>
    </w:p>
    <w:p>
      <w:pPr>
        <w:pStyle w:val="Heading1"/>
      </w:pPr>
      <w:r>
        <w:t>9.2 Constraints</w:t>
      </w:r>
    </w:p>
    <w:p>
      <w:r>
        <w:t>Constraints may consume typed historical evidence only when that evidence establishes or supports a present constraint structure, such as standing obligations, historical lock-ins, or trust-dependent access restrictions that the model treats as real feasibility conditions.</w:t>
      </w:r>
    </w:p>
    <w:p>
      <w:r>
        <w:t>Constraints must not treat vague remembered aversion or narrative discomfort as executability facts.</w:t>
      </w:r>
    </w:p>
    <w:p>
      <w:pPr>
        <w:pStyle w:val="Heading1"/>
      </w:pPr>
      <w:r>
        <w:t>9.3 Domain Framing</w:t>
      </w:r>
    </w:p>
    <w:p>
      <w:r>
        <w:t>Domain framing may consider memory where the remembered continuity object, obligation, or function-bearing role is historically path-dependent. But framing must still remain explicit and publicly defensible at the architecture level.</w:t>
      </w:r>
    </w:p>
    <w:p>
      <w:pPr>
        <w:pStyle w:val="Heading1"/>
      </w:pPr>
      <w:r>
        <w:t>9.4 Adequacy</w:t>
      </w:r>
    </w:p>
    <w:p>
      <w:r>
        <w:t>Adequacy should generally not consume raw memory directly. It should consume framed targets, transition expectations, and reachable structures that may already incorporate licensed memory effects upstream.</w:t>
      </w:r>
    </w:p>
    <w:p>
      <w:r>
        <w:t>This boundary matters. If adequacy consumes raw memory freely, it will start compensating for upstream ambiguity and the architecture will blur.</w:t>
      </w:r>
    </w:p>
    <w:p>
      <w:pPr>
        <w:pStyle w:val="Heading1"/>
      </w:pPr>
      <w:r>
        <w:t>9.5 Σ</w:t>
      </w:r>
    </w:p>
    <w:p>
      <w:r>
        <w:t>Σ must not become the place where remembered stories rescue or condemn candidate policies after upstream structure has been built. Selection operates only after admissible structure has been built and filtered. Memory is not allowed to function here as a late-stage intuitive override unless a later formal extension explicitly adds such a mechanism.</w:t>
      </w:r>
    </w:p>
    <w:p>
      <w:pPr>
        <w:pStyle w:val="Heading1"/>
      </w:pPr>
      <w:r>
        <w:t>10. Hard Prohibitions</w:t>
      </w:r>
    </w:p>
    <w:p>
      <w:r>
        <w:t>The following are prohibited.</w:t>
      </w:r>
    </w:p>
    <w:p>
      <w:pPr>
        <w:pStyle w:val="Heading1"/>
      </w:pPr>
      <w:r>
        <w:t>10.1 No Silent State Override</w:t>
      </w:r>
    </w:p>
    <w:p>
      <w:r>
        <w:t>Memory may not silently replace current observed state with remembered state without explicit uncertainty treatment.</w:t>
      </w:r>
    </w:p>
    <w:p>
      <w:pPr>
        <w:pStyle w:val="Heading1"/>
      </w:pPr>
      <w:r>
        <w:t>10.2 No Feasibility Invention</w:t>
      </w:r>
    </w:p>
    <w:p>
      <w:r>
        <w:t>Memory may not create a reachable policy path or remove a hard constraint merely because the agent remembers wanting the path to exist.</w:t>
      </w:r>
    </w:p>
    <w:p>
      <w:pPr>
        <w:pStyle w:val="Heading1"/>
      </w:pPr>
      <w:r>
        <w:t>10.3 No Preference Disguised as Memory</w:t>
      </w:r>
    </w:p>
    <w:p>
      <w:r>
        <w:t>A remembered desire, grievance, or self-justifying narrative may not automatically count as threat, feasibility fact, or governing-domain evidence.</w:t>
      </w:r>
    </w:p>
    <w:p>
      <w:pPr>
        <w:pStyle w:val="Heading1"/>
      </w:pPr>
      <w:r>
        <w:t>10.4 No Downstream Compensation</w:t>
      </w:r>
    </w:p>
    <w:p>
      <w:r>
        <w:t>Memory may not be used in Adequacy or Σ to patch omissions that should have been handled in graph construction, policy generation, constraint analysis, or framing.</w:t>
      </w:r>
    </w:p>
    <w:p>
      <w:pPr>
        <w:pStyle w:val="Heading1"/>
      </w:pPr>
      <w:r>
        <w:t>10.5 No Flat Trust of High-Confidence Recall</w:t>
      </w:r>
    </w:p>
    <w:p>
      <w:r>
        <w:t>High confidence in a retrieval does not entitle the system to treat that retrieval as high-accuracy fact.</w:t>
      </w:r>
    </w:p>
    <w:p>
      <w:pPr>
        <w:pStyle w:val="Heading2"/>
      </w:pPr>
      <w:r>
        <w:t>10.6 No Disposition Stripping</w:t>
      </w:r>
    </w:p>
    <w:p>
      <w:pPr/>
      <w:r>
        <w:t>Retrieval may not strip a material rejection, supersession, prohibition, noncurrent status, unresolved status, or equivalent disposition and then present the underlying content as unqualified current evidence.</w:t>
      </w:r>
    </w:p>
    <w:p>
      <w:pPr>
        <w:pStyle w:val="Heading2"/>
      </w:pPr>
      <w:r>
        <w:t>10.7 No Authority by Confidence or Relevance</w:t>
      </w:r>
    </w:p>
    <w:p>
      <w:pPr/>
      <w:r>
        <w:t>Confidence, corroboration, freshness, source reliability, or relevance may inform interpretation but do not independently confer current authority or permission to use the information.</w:t>
      </w:r>
    </w:p>
    <w:p>
      <w:pPr>
        <w:pStyle w:val="Heading1"/>
      </w:pPr>
      <w:r>
        <w:t>11. Memory Update Rule</w:t>
      </w:r>
    </w:p>
    <w:p>
      <w:r>
        <w:t>Memory must be updated over time as the system acts and learns. Define the general update form as:</w:t>
      </w:r>
    </w:p>
    <w:p>
      <w:r>
        <w:t>M_I(t+1) = U_M(M_I(t), Obs_I(t), x_exec,I(t), ExecPath_I(t), status_exec,I(t), B_real,I(t), info_exec,I(t), Interpret_I(t), PE_M,I(t))</w:t>
      </w:r>
    </w:p>
    <w:p>
      <w:r>
        <w:t>This update rule must preserve the distinction between new trace acquisition, pattern consolidation, trust/source-history updating, commitment-history carry-forward, quality-marker revision after corroboration or contradiction, and memory modification caused by retrieval/reinterpretation. Prediction error must be typed to its update target: PE_M may justify memory correction; expectation mismatch should ordinarily update K through its separately owned rule rather than silently rewriting M.</w:t>
      </w:r>
    </w:p>
    <w:p>
      <w:pPr>
        <w:pStyle w:val="ListBullet"/>
      </w:pPr>
      <w:r>
        <w:t>new trace acquisition</w:t>
      </w:r>
    </w:p>
    <w:p>
      <w:pPr>
        <w:pStyle w:val="ListBullet"/>
      </w:pPr>
      <w:r>
        <w:t>pattern consolidation</w:t>
      </w:r>
    </w:p>
    <w:p>
      <w:pPr>
        <w:pStyle w:val="ListBullet"/>
      </w:pPr>
      <w:r>
        <w:t>trust updating</w:t>
      </w:r>
    </w:p>
    <w:p>
      <w:pPr>
        <w:pStyle w:val="ListBullet"/>
      </w:pPr>
      <w:r>
        <w:t>commitment carry-forward</w:t>
      </w:r>
    </w:p>
    <w:p>
      <w:pPr>
        <w:pStyle w:val="ListBullet"/>
      </w:pPr>
      <w:r>
        <w:t>quality-marker revision after corroboration or contradiction</w:t>
      </w:r>
    </w:p>
    <w:p>
      <w:pPr>
        <w:pStyle w:val="ListBullet"/>
      </w:pPr>
      <w:r>
        <w:t>memory modification caused by retrieval and reinterpretation</w:t>
      </w:r>
    </w:p>
    <w:p>
      <w:pPr>
        <w:pStyle w:val="Heading1"/>
      </w:pPr>
      <w:r>
        <w:t>11.1 Update Constraints</w:t>
      </w:r>
    </w:p>
    <w:p>
      <w:r>
        <w:t>The memory update process must not be treated as neutral write-only storage.</w:t>
      </w:r>
    </w:p>
    <w:p>
      <w:r>
        <w:t>It must allow at least the possibility of:</w:t>
      </w:r>
    </w:p>
    <w:p>
      <w:pPr>
        <w:pStyle w:val="ListBullet"/>
      </w:pPr>
      <w:r>
        <w:t>trace strengthening</w:t>
      </w:r>
    </w:p>
    <w:p>
      <w:pPr>
        <w:pStyle w:val="ListBullet"/>
      </w:pPr>
      <w:r>
        <w:t>trace decay</w:t>
      </w:r>
    </w:p>
    <w:p>
      <w:pPr>
        <w:pStyle w:val="ListBullet"/>
      </w:pPr>
      <w:r>
        <w:t>pattern abstraction</w:t>
      </w:r>
    </w:p>
    <w:p>
      <w:pPr>
        <w:pStyle w:val="ListBullet"/>
      </w:pPr>
      <w:r>
        <w:t>distortion through reinterpretation</w:t>
      </w:r>
    </w:p>
    <w:p>
      <w:pPr>
        <w:pStyle w:val="ListBullet"/>
      </w:pPr>
      <w:r>
        <w:t>confidence shift independent of accuracy shift</w:t>
      </w:r>
    </w:p>
    <w:p>
      <w:pPr>
        <w:pStyle w:val="ListBullet"/>
      </w:pPr>
      <w:r>
        <w:t>correction after contradiction or external confirmation</w:t>
      </w:r>
    </w:p>
    <w:p>
      <w:pPr>
        <w:pStyle w:val="Heading1"/>
      </w:pPr>
      <w:r>
        <w:t>12. Rational Action Under Corrupted Memory</w:t>
      </w:r>
    </w:p>
    <w:p>
      <w:r>
        <w:t>The framework should explicitly allow the following case:</w:t>
      </w:r>
    </w:p>
    <w:p>
      <w:r>
        <w:t>An agent acts rationally relative to its current perceived world and remembered historical structure, while that remembered structure is itself inaccurate.</w:t>
      </w:r>
    </w:p>
    <w:p>
      <w:r>
        <w:t>This matters because it preserves a key explanatory distinction:</w:t>
      </w:r>
    </w:p>
    <w:p>
      <w:pPr>
        <w:pStyle w:val="ListBullet"/>
      </w:pPr>
      <w:r>
        <w:t>external maladaptation does not automatically imply internal irrationality</w:t>
      </w:r>
    </w:p>
    <w:p>
      <w:pPr>
        <w:pStyle w:val="ListBullet"/>
      </w:pPr>
      <w:r>
        <w:t>memory corruption can be modeled as an input-quality defect rather than a downstream logical defect</w:t>
      </w:r>
    </w:p>
    <w:p>
      <w:pPr>
        <w:pStyle w:val="ListBullet"/>
      </w:pPr>
      <w:r>
        <w:t>the architecture can represent why a system behaved coherently under a false remembered world</w:t>
      </w:r>
    </w:p>
    <w:p>
      <w:pPr>
        <w:pStyle w:val="Heading1"/>
      </w:pPr>
      <w:r>
        <w:t>13. Interface Contract Summary</w:t>
      </w:r>
    </w:p>
    <w:p>
      <w:r>
        <w:t>The memory interface contract established here is as follows:</w:t>
      </w:r>
    </w:p>
    <w:p>
      <w:pPr>
        <w:pStyle w:val="ListBullet"/>
      </w:pPr>
      <w:r>
        <w:t>memory state is persistent, structured, and quality-variable</w:t>
      </w:r>
    </w:p>
    <w:p>
      <w:pPr>
        <w:pStyle w:val="ListBullet"/>
      </w:pPr>
      <w:r>
        <w:t>retrieval output is distinct from stored state</w:t>
      </w:r>
    </w:p>
    <w:p>
      <w:pPr>
        <w:pStyle w:val="ListBullet"/>
      </w:pPr>
      <w:r>
        <w:t>retrieval carries confidence and distortion markers</w:t>
      </w:r>
    </w:p>
    <w:p>
      <w:pPr>
        <w:pStyle w:val="ListBullet"/>
      </w:pPr>
      <w:r>
        <w:t>memory may directly influence perceived-state construction and selected upstream interpretive operators through licensed interfaces</w:t>
      </w:r>
    </w:p>
    <w:p>
      <w:pPr>
        <w:pStyle w:val="ListBullet"/>
      </w:pPr>
      <w:r>
        <w:t>memory may influence graph and feasibility interpretation only where historically grounded structure matters</w:t>
      </w:r>
    </w:p>
    <w:p>
      <w:pPr>
        <w:pStyle w:val="ListBullet"/>
      </w:pPr>
      <w:r>
        <w:t>memory may not serve as a late-stage narrative override</w:t>
      </w:r>
    </w:p>
    <w:p>
      <w:pPr>
        <w:pStyle w:val="ListBullet"/>
      </w:pPr>
      <w:r>
        <w:t>memory must remain bounded, attributable, and auditable</w:t>
      </w:r>
    </w:p>
    <w:p>
      <w:pPr>
        <w:pStyle w:val="Heading1"/>
      </w:pPr>
      <w:r>
        <w:t>14. Open Follow-On Work</w:t>
      </w:r>
    </w:p>
    <w:p>
      <w:r>
        <w:t>This integration document is necessary, but it still leaves several next-step jobs open.</w:t>
      </w:r>
    </w:p>
    <w:p>
      <w:pPr>
        <w:pStyle w:val="Heading1"/>
      </w:pPr>
      <w:r>
        <w:t>14.1 Canonical Alignment</w:t>
      </w:r>
    </w:p>
    <w:p>
      <w:r>
        <w:t>The Perception and Signal Interpretation Architecture should be inspected and, where necessary, revised so that its memory placeholder explicitly consumes R^M_i(t,q), K_i(t), and quality/confidence metadata through licensed interfaces rather than treating M_i(t) as undifferentiated direct input.</w:t>
      </w:r>
    </w:p>
    <w:p>
      <w:pPr>
        <w:pStyle w:val="Heading1"/>
      </w:pPr>
      <w:r>
        <w:t>14.2 Dynamics and Runtime Alignment</w:t>
      </w:r>
    </w:p>
    <w:p>
      <w:r>
        <w:t>System-state and runtime documents should preserve M_i(t) and K_i(t) as informational persistence distinct from S_i(t), and should trace typed updates where implementation/audit requires them. They should not promote memory or expectation objects into Layer 1 actual state.</w:t>
      </w:r>
    </w:p>
    <w:p>
      <w:pPr>
        <w:pStyle w:val="Heading1"/>
      </w:pPr>
      <w:r>
        <w:t>14.3 Typed Formalization and Specialization</w:t>
      </w:r>
    </w:p>
    <w:p>
      <w:r>
        <w:t>A later formal addendum may specify exact typed structures for M_i(t), R^M_i(t,q), raw versus interpreted retrieval, and minimal quality-marker contracts. Typed relational memory is treated as a specialization/profile of this general M/R^M substrate, not as a replacement for it.</w:t>
      </w:r>
    </w:p>
    <w:p>
      <w:pPr>
        <w:pStyle w:val="Heading1"/>
      </w:pPr>
      <w:r>
        <w:t>15. Structural Conclusion</w:t>
      </w:r>
    </w:p>
    <w:p>
      <w:r>
        <w:t>The right next step after introducing memory was not more high-level language. It was this: interface control.</w:t>
      </w:r>
    </w:p>
    <w:p>
      <w:r>
        <w:t>Without that, memory would have destabilized the architecture. With it, memory can now be inserted as a legitimate historically conditioned input structure rather than an informal source of discretion.</w:t>
      </w:r>
    </w:p>
    <w:p>
      <w:r>
        <w:t>That is the correct first integration pass.</w:t>
      </w:r>
    </w:p>
    <w:p>
      <w:pPr>
        <w:pStyle w:val="Heading1"/>
      </w:pPr>
      <w:r>
        <w:t>15A. Execution and Feedback Interface</w:t>
      </w:r>
    </w:p>
    <w:p>
      <w:r>
        <w:t>Memory update should distinguish selected policy π_sel(t), instantiated execution x_exec(t), bounded execution state where material, realized execution path ExecPath(t), execution status status_exec(t), realized Productive-Value bundle(s) B_real(t), and environmental/counterparty observations. There is no separate canonical 'executable policy' object under R3.</w:t>
      </w:r>
    </w:p>
    <w:p>
      <w:r>
        <w:t>Failure to distinguish these stages can incorrectly encode intention as performance or environmental interruption as agent betrayal.</w:t>
      </w:r>
    </w:p>
    <w:p>
      <w:r>
        <w:t>Typed relational memory should therefore preserve, where relevant: selected-policy reference, instantiated execution, realized execution path/status, observed counterparty action, realized PV consequence, environmental outcome, affected domain, guardrail state, source basis, and confidence/quality metadata.</w:t>
      </w:r>
    </w:p>
    <w:p>
      <w:r>
        <w:t>Prediction error should be computed against the appropriate predicted object and stage. A policy may have been selected correctly but fail during realization or execution. Expectation error belongs to K-update routing unless the evidence also independently warrants correction of M or another object.</w:t>
      </w:r>
    </w:p>
    <w:p>
      <w:pPr>
        <w:pStyle w:val="Heading1"/>
      </w:pPr>
      <w:r>
        <w:t>16. Authority and Supersession</w:t>
      </w:r>
    </w:p>
    <w:p>
      <w:r>
        <w:t>Version v0.5 (Version 2.1 Stack-Input and Retrieval Governance Reconciliation)</w:t>
      </w:r>
    </w:p>
    <w:p>
      <w:pPr/>
      <w:r>
        <w:t>This v0.5 specification supersedes v0.4 for the Version 2.1 line. The only new reconciliation is the current Layer 2 input/stack statement; the v0.4 retrieval-governance semantics remain in force unchanged.</w:t>
      </w:r>
    </w:p>
    <w:p>
      <w:r/>
    </w:p>
    <w:p>
      <w:pPr/>
      <w:r>
        <w:rPr>
          <w:b/>
        </w:rPr>
        <w:t xml:space="preserve">Revision note — v0.5: </w:t>
      </w:r>
      <w:r>
        <w:t>Corrects the Layer 2 input surface from the superseded PPP-only shorthand to the Version 2.1 P_I(t) input with adjacent O_I(t), while preserving the v0.4 retrieval-authority, disposition, permitted-use, and temporal-provenance rules. No memory primitive, operator, or downstream override is added.</w:t>
      </w:r>
    </w:p>
    <w:sectPr w:rsidR="00FC693F" w:rsidRPr="0006063C" w:rsidSect="00034616">
      <w:footerReference w:type="default" r:id="rId9"/>
      <w:head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PV-PP Memory Interface and Pipeline Integration - Active Supporting Specification v0.5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keepNext/>
    </w:pPr>
    <w:rPr>
      <w:rFonts w:asciiTheme="majorHAnsi" w:eastAsiaTheme="majorEastAsia" w:hAnsiTheme="majorHAnsi" w:cstheme="majorBidi" w:ascii="Aptos" w:hAnsi="Aptos" w:eastAsia="Aptos"/>
      <w:b/>
      <w:bCs/>
      <w:color w:val="282828"/>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keepNext/>
    </w:pPr>
    <w:rPr>
      <w:rFonts w:asciiTheme="majorHAnsi" w:eastAsiaTheme="majorEastAsia" w:hAnsiTheme="majorHAnsi" w:cstheme="majorBidi" w:ascii="Aptos" w:hAnsi="Aptos" w:eastAsia="Aptos"/>
      <w:b/>
      <w:bCs/>
      <w:color w:val="365486"/>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keepNext/>
    </w:pPr>
    <w:rPr>
      <w:rFonts w:asciiTheme="majorHAnsi" w:eastAsiaTheme="majorEastAsia" w:hAnsiTheme="majorHAnsi" w:cstheme="majorBidi" w:ascii="Aptos" w:hAnsi="Aptos" w:eastAsia="Aptos"/>
      <w:b/>
      <w:bCs/>
      <w:color w:val="3654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