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PV-PP Canonical State Object and Symbol Table v0.5</w:t>
      </w:r>
    </w:p>
    <w:p>
      <w:r>
        <w:t>Revision purpose: Preserve the v0.4 R2/R4/R22 state and informational authority while adding R31 Productive Value / Productive Power ontology discipline. This revision constrains category use; it does not expand the ontology or create new state objects.</w:t>
      </w:r>
    </w:p>
    <w:p>
      <w:pPr>
        <w:pStyle w:val="Heading1"/>
      </w:pPr>
      <w:r>
        <w:t>Revision Summary</w:t>
      </w:r>
    </w:p>
    <w:p>
      <w:pPr>
        <w:pStyle w:val="ListBullet"/>
      </w:pPr>
      <w:r>
        <w:t>Added R31 ontology guardrails distinguishing PV transfer/realization, SPV retention, PP capability, and non-PV/PP contextual, relational, informational, constraint, viability, and consequence variables.</w:t>
      </w:r>
    </w:p>
    <w:p>
      <w:pPr>
        <w:pStyle w:val="ListBullet"/>
      </w:pPr>
      <w:r>
        <w:t>Preserved the v0.3 actual/perceived state crosswalk and SPV/AVS/PVS authority.</w:t>
      </w:r>
    </w:p>
    <w:p>
      <w:pPr>
        <w:pStyle w:val="ListBullet"/>
      </w:pPr>
      <w:r>
        <w:t>Added canonical reference entries for retained memory M_i(t), retrieval R^M_i(t,q), and expectation state K_i(t).</w:t>
      </w:r>
    </w:p>
    <w:p>
      <w:pPr>
        <w:pStyle w:val="ListBullet"/>
      </w:pPr>
      <w:r>
        <w:t>Clarified that confidence/reliability is primarily object-local or retrieval-/projection-local metadata, not a global truth scalar.</w:t>
      </w:r>
    </w:p>
    <w:p>
      <w:pPr>
        <w:pStyle w:val="ListBullet"/>
      </w:pPr>
      <w:r>
        <w:t>Clarified that M, R^M, and K are informational-persistence / decision-support objects and are not components of Layer 1 actual persistent state S_i(t).</w:t>
      </w:r>
    </w:p>
    <w:p>
      <w:pPr>
        <w:pStyle w:val="ListBullet"/>
      </w:pPr>
      <w:r>
        <w:t>Referenced Memory Interface v0.3 and Projection/Expectation Interface v0.2 as owning detailed routing/update semantics.</w:t>
      </w:r>
    </w:p>
    <w:p>
      <w:pPr>
        <w:pStyle w:val="ListBullet"/>
      </w:pPr>
      <w:r>
        <w:t>Kept belief/proposition-state formalization, attention/salience, typed relational-memory subtypes, and full memory taxonomy deferred.</w:t>
      </w:r>
    </w:p>
    <w:p>
      <w:pPr>
        <w:pStyle w:val="Heading1"/>
      </w:pPr>
      <w:r>
        <w:t>1. Canonical Actual and Perceived State Architecture</w:t>
      </w:r>
    </w:p>
    <w:p>
      <w:r>
        <w:t>Actual persistent state:</w:t>
      </w:r>
    </w:p>
    <w:p>
      <w:r>
        <w:t>S_i(t) = [PP_i(t), SPV_i(t), AVS_i(t), X_i(t)]</w:t>
      </w:r>
    </w:p>
    <w:p>
      <w:r>
        <w:t>Perceived decision state:</w:t>
      </w:r>
    </w:p>
    <w:p>
      <w:r>
        <w:t>P_i(t) = [PPP_i(t), SPVhat_i(t), PVS_i(t), Xhat_i(t)]</w:t>
      </w:r>
    </w:p>
    <w:p>
      <w:r>
        <w:t>These are structural crosswalks. They do not imply scalar commensurability among components and do not require each component to be represented as a simple number.</w:t>
      </w:r>
    </w:p>
    <w:p>
      <w:pPr>
        <w:pStyle w:val="Heading1"/>
      </w:pPr>
      <w:r>
        <w:t>2. Normative State Definitions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Element</w:t>
            </w:r>
          </w:p>
        </w:tc>
        <w:tc>
          <w:tcPr>
            <w:tcW w:type="dxa" w:w="2160"/>
          </w:tcPr>
          <w:p>
            <w:r>
              <w:t>Canonical symbol</w:t>
            </w:r>
          </w:p>
        </w:tc>
        <w:tc>
          <w:tcPr>
            <w:tcW w:type="dxa" w:w="2160"/>
          </w:tcPr>
          <w:p>
            <w:r>
              <w:t>Normative meaning</w:t>
            </w:r>
          </w:p>
        </w:tc>
        <w:tc>
          <w:tcPr>
            <w:tcW w:type="dxa" w:w="2160"/>
          </w:tcPr>
          <w:p>
            <w:r>
              <w:t>Owner</w:t>
            </w:r>
          </w:p>
        </w:tc>
      </w:tr>
      <w:tr>
        <w:tc>
          <w:tcPr>
            <w:tcW w:type="dxa" w:w="2160"/>
          </w:tcPr>
          <w:p>
            <w:r>
              <w:t>Productive Value</w:t>
            </w:r>
          </w:p>
        </w:tc>
        <w:tc>
          <w:tcPr>
            <w:tcW w:type="dxa" w:w="2160"/>
          </w:tcPr>
          <w:p>
            <w:r>
              <w:t>PV</w:t>
            </w:r>
          </w:p>
        </w:tc>
        <w:tc>
          <w:tcPr>
            <w:tcW w:type="dxa" w:w="2160"/>
          </w:tcPr>
          <w:p>
            <w:r>
              <w:t>Goods, services, information, effects, or claims transferred, delivered, realized, imposed, or otherwise conveyed through an event or interaction. Importance or usefulness alone does not make a variable PV.</w:t>
            </w:r>
          </w:p>
        </w:tc>
        <w:tc>
          <w:tcPr>
            <w:tcW w:type="dxa" w:w="2160"/>
          </w:tcPr>
          <w:p>
            <w:r>
              <w:t>This document</w:t>
            </w:r>
          </w:p>
        </w:tc>
      </w:tr>
      <w:tr>
        <w:tc>
          <w:tcPr>
            <w:tcW w:type="dxa" w:w="2160"/>
          </w:tcPr>
          <w:p>
            <w:r>
              <w:t>Productive Power</w:t>
            </w:r>
          </w:p>
        </w:tc>
        <w:tc>
          <w:tcPr>
            <w:tcW w:type="dxa" w:w="2160"/>
          </w:tcPr>
          <w:p>
            <w:r>
              <w:t>PP_i(t)</w:t>
            </w:r>
          </w:p>
        </w:tc>
        <w:tc>
          <w:tcPr>
            <w:tcW w:type="dxa" w:w="2160"/>
          </w:tcPr>
          <w:p>
            <w:r>
              <w:t>Actual productive capability: capacity, under stated conditions, to generate, transform, coordinate, deploy, preserve, protect, recover, or otherwise produce Productive Value. A relevant condition or asset is not PP merely because it affects outcomes.</w:t>
            </w:r>
          </w:p>
        </w:tc>
        <w:tc>
          <w:tcPr>
            <w:tcW w:type="dxa" w:w="2160"/>
          </w:tcPr>
          <w:p>
            <w:r>
              <w:t>This document</w:t>
            </w:r>
          </w:p>
        </w:tc>
      </w:tr>
      <w:tr>
        <w:tc>
          <w:tcPr>
            <w:tcW w:type="dxa" w:w="2160"/>
          </w:tcPr>
          <w:p>
            <w:r>
              <w:t>Stored Productive Value</w:t>
            </w:r>
          </w:p>
        </w:tc>
        <w:tc>
          <w:tcPr>
            <w:tcW w:type="dxa" w:w="2160"/>
          </w:tcPr>
          <w:p>
            <w:r>
              <w:t>SPV_i(t)</w:t>
            </w:r>
          </w:p>
        </w:tc>
        <w:tc>
          <w:tcPr>
            <w:tcW w:type="dxa" w:w="2160"/>
          </w:tcPr>
          <w:p>
            <w:r>
              <w:t>Realized Productive Value retained for later expenditure, transfer, exchange, consumption, or conversion. SPV is a persistent holding distinct from productive capability.</w:t>
            </w:r>
          </w:p>
        </w:tc>
        <w:tc>
          <w:tcPr>
            <w:tcW w:type="dxa" w:w="2160"/>
          </w:tcPr>
          <w:p>
            <w:r>
              <w:t>This document</w:t>
            </w:r>
          </w:p>
        </w:tc>
      </w:tr>
      <w:tr>
        <w:tc>
          <w:tcPr>
            <w:tcW w:type="dxa" w:w="2160"/>
          </w:tcPr>
          <w:p>
            <w:r>
              <w:t>Actual Viability State</w:t>
            </w:r>
          </w:p>
        </w:tc>
        <w:tc>
          <w:tcPr>
            <w:tcW w:type="dxa" w:w="2160"/>
          </w:tcPr>
          <w:p>
            <w:r>
              <w:t>AVS_i(t)</w:t>
            </w:r>
          </w:p>
        </w:tc>
        <w:tc>
          <w:tcPr>
            <w:tcW w:type="dxa" w:w="2160"/>
          </w:tcPr>
          <w:p>
            <w:r>
              <w:t>Derived actual viability-relevant condition under current thresholds, margins, reserves, access, commitments, trajectories, and time-sensitive exposure. AVS is not a utility score.</w:t>
            </w:r>
          </w:p>
        </w:tc>
        <w:tc>
          <w:tcPr>
            <w:tcW w:type="dxa" w:w="2160"/>
          </w:tcPr>
          <w:p>
            <w:r>
              <w:t>This document</w:t>
            </w:r>
          </w:p>
        </w:tc>
      </w:tr>
      <w:tr>
        <w:tc>
          <w:tcPr>
            <w:tcW w:type="dxa" w:w="2160"/>
          </w:tcPr>
          <w:p>
            <w:r>
              <w:t>Perceived Productive Power</w:t>
            </w:r>
          </w:p>
        </w:tc>
        <w:tc>
          <w:tcPr>
            <w:tcW w:type="dxa" w:w="2160"/>
          </w:tcPr>
          <w:p>
            <w:r>
              <w:t>PPP_i(t)</w:t>
            </w:r>
          </w:p>
        </w:tc>
        <w:tc>
          <w:tcPr>
            <w:tcW w:type="dxa" w:w="2160"/>
          </w:tcPr>
          <w:p>
            <w:r>
              <w:t>Agent's estimate of available productive capability. PPP is a component of P_i(t), not the complete perceived state.</w:t>
            </w:r>
          </w:p>
        </w:tc>
        <w:tc>
          <w:tcPr>
            <w:tcW w:type="dxa" w:w="2160"/>
          </w:tcPr>
          <w:p>
            <w:r>
              <w:t>This document</w:t>
            </w:r>
          </w:p>
        </w:tc>
      </w:tr>
      <w:tr>
        <w:tc>
          <w:tcPr>
            <w:tcW w:type="dxa" w:w="2160"/>
          </w:tcPr>
          <w:p>
            <w:r>
              <w:t>Perceived Stored Productive Value</w:t>
            </w:r>
          </w:p>
        </w:tc>
        <w:tc>
          <w:tcPr>
            <w:tcW w:type="dxa" w:w="2160"/>
          </w:tcPr>
          <w:p>
            <w:r>
              <w:t>SPVhat_i(t)</w:t>
            </w:r>
          </w:p>
        </w:tc>
        <w:tc>
          <w:tcPr>
            <w:tcW w:type="dxa" w:w="2160"/>
          </w:tcPr>
          <w:p>
            <w:r>
              <w:t>Agent's estimate of retained Productive Value, including believed quantity, accessibility, durability, ownership/control, liquidity, and deployment power where relevant.</w:t>
            </w:r>
          </w:p>
        </w:tc>
        <w:tc>
          <w:tcPr>
            <w:tcW w:type="dxa" w:w="2160"/>
          </w:tcPr>
          <w:p>
            <w:r>
              <w:t>This document</w:t>
            </w:r>
          </w:p>
        </w:tc>
      </w:tr>
      <w:tr>
        <w:tc>
          <w:tcPr>
            <w:tcW w:type="dxa" w:w="2160"/>
          </w:tcPr>
          <w:p>
            <w:r>
              <w:t>Perceived Viability State</w:t>
            </w:r>
          </w:p>
        </w:tc>
        <w:tc>
          <w:tcPr>
            <w:tcW w:type="dxa" w:w="2160"/>
          </w:tcPr>
          <w:p>
            <w:r>
              <w:t>PVS_i(t)</w:t>
            </w:r>
          </w:p>
        </w:tc>
        <w:tc>
          <w:tcPr>
            <w:tcW w:type="dxa" w:w="2160"/>
          </w:tcPr>
          <w:p>
            <w:r>
              <w:t>Agent's internal estimate of present and prospective viability. PVS may diverge from AVS because of incomplete observation, false belief, memory distortion, confidence error, inaccessible holdings, or incorrect expectations.</w:t>
            </w:r>
          </w:p>
        </w:tc>
        <w:tc>
          <w:tcPr>
            <w:tcW w:type="dxa" w:w="2160"/>
          </w:tcPr>
          <w:p>
            <w:r>
              <w:t>This document</w:t>
            </w:r>
          </w:p>
        </w:tc>
      </w:tr>
      <w:tr>
        <w:tc>
          <w:tcPr>
            <w:tcW w:type="dxa" w:w="2160"/>
          </w:tcPr>
          <w:p>
            <w:r>
              <w:t>Actual Context</w:t>
            </w:r>
          </w:p>
        </w:tc>
        <w:tc>
          <w:tcPr>
            <w:tcW w:type="dxa" w:w="2160"/>
          </w:tcPr>
          <w:p>
            <w:r>
              <w:t>X_i(t)</w:t>
            </w:r>
          </w:p>
        </w:tc>
        <w:tc>
          <w:tcPr>
            <w:tcW w:type="dxa" w:w="2160"/>
          </w:tcPr>
          <w:p>
            <w:r>
              <w:t>Actual environmental, relational, institutional, and physical conditions relevant to action and state transition.</w:t>
            </w:r>
          </w:p>
        </w:tc>
        <w:tc>
          <w:tcPr>
            <w:tcW w:type="dxa" w:w="2160"/>
          </w:tcPr>
          <w:p>
            <w:r>
              <w:t>This document</w:t>
            </w:r>
          </w:p>
        </w:tc>
      </w:tr>
      <w:tr>
        <w:tc>
          <w:tcPr>
            <w:tcW w:type="dxa" w:w="2160"/>
          </w:tcPr>
          <w:p>
            <w:r>
              <w:t>Perceived Context</w:t>
            </w:r>
          </w:p>
        </w:tc>
        <w:tc>
          <w:tcPr>
            <w:tcW w:type="dxa" w:w="2160"/>
          </w:tcPr>
          <w:p>
            <w:r>
              <w:t>Xhat_i(t)</w:t>
            </w:r>
          </w:p>
        </w:tc>
        <w:tc>
          <w:tcPr>
            <w:tcW w:type="dxa" w:w="2160"/>
          </w:tcPr>
          <w:p>
            <w:r>
              <w:t>Agent's interpreted estimate of context relevant to the current decision state.</w:t>
            </w:r>
          </w:p>
        </w:tc>
        <w:tc>
          <w:tcPr>
            <w:tcW w:type="dxa" w:w="2160"/>
          </w:tcPr>
          <w:p>
            <w:r>
              <w:t>This document</w:t>
            </w:r>
          </w:p>
        </w:tc>
      </w:tr>
    </w:tbl>
    <w:p>
      <w:pPr>
        <w:pStyle w:val="Heading1"/>
      </w:pPr>
      <w:r>
        <w:t>3. Informational-Persistence Reference Objects</w:t>
      </w:r>
    </w:p>
    <w:p>
      <w:r>
        <w:t>The following objects are canonical framework reference objects but are not additional components of Layer 1 actual persistent state S_i(t). This document owns their symbol/meaning crosswalk at the framework level; detailed interface, retrieval, projection, and update semantics are owned by the cited supporting specifications.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Object</w:t>
            </w:r>
          </w:p>
        </w:tc>
        <w:tc>
          <w:tcPr>
            <w:tcW w:type="dxa" w:w="1728"/>
          </w:tcPr>
          <w:p>
            <w:r>
              <w:t>Canonical symbol</w:t>
            </w:r>
          </w:p>
        </w:tc>
        <w:tc>
          <w:tcPr>
            <w:tcW w:type="dxa" w:w="1728"/>
          </w:tcPr>
          <w:p>
            <w:r>
              <w:t>Meaning</w:t>
            </w:r>
          </w:p>
        </w:tc>
        <w:tc>
          <w:tcPr>
            <w:tcW w:type="dxa" w:w="1728"/>
          </w:tcPr>
          <w:p>
            <w:r>
              <w:t>Detailed owner</w:t>
            </w:r>
          </w:p>
        </w:tc>
        <w:tc>
          <w:tcPr>
            <w:tcW w:type="dxa" w:w="1728"/>
          </w:tcPr>
          <w:p>
            <w:r>
              <w:t>State boundary</w:t>
            </w:r>
          </w:p>
        </w:tc>
      </w:tr>
      <w:tr>
        <w:tc>
          <w:tcPr>
            <w:tcW w:type="dxa" w:w="1728"/>
          </w:tcPr>
          <w:p>
            <w:r>
              <w:t>Retained memory</w:t>
            </w:r>
          </w:p>
        </w:tc>
        <w:tc>
          <w:tcPr>
            <w:tcW w:type="dxa" w:w="1728"/>
          </w:tcPr>
          <w:p>
            <w:r>
              <w:t>M_i(t)</w:t>
            </w:r>
          </w:p>
        </w:tc>
        <w:tc>
          <w:tcPr>
            <w:tcW w:type="dxa" w:w="1728"/>
          </w:tcPr>
          <w:p>
            <w:r>
              <w:t>Persistent historical informational substrate containing retained traces and historically learned structure.</w:t>
            </w:r>
          </w:p>
        </w:tc>
        <w:tc>
          <w:tcPr>
            <w:tcW w:type="dxa" w:w="1728"/>
          </w:tcPr>
          <w:p>
            <w:r>
              <w:t>Memory Interface and Pipeline Integration v0.3</w:t>
            </w:r>
          </w:p>
        </w:tc>
        <w:tc>
          <w:tcPr>
            <w:tcW w:type="dxa" w:w="1728"/>
          </w:tcPr>
          <w:p>
            <w:r>
              <w:t>Informational persistence; not S_i(t) and not P_i(t).</w:t>
            </w:r>
          </w:p>
        </w:tc>
      </w:tr>
      <w:tr>
        <w:tc>
          <w:tcPr>
            <w:tcW w:type="dxa" w:w="1728"/>
          </w:tcPr>
          <w:p>
            <w:r>
              <w:t>Retrieval / reconstruction</w:t>
            </w:r>
          </w:p>
        </w:tc>
        <w:tc>
          <w:tcPr>
            <w:tcW w:type="dxa" w:w="1728"/>
          </w:tcPr>
          <w:p>
            <w:r>
              <w:t>R^M_i(t,q)</w:t>
            </w:r>
          </w:p>
        </w:tc>
        <w:tc>
          <w:tcPr>
            <w:tcW w:type="dxa" w:w="1728"/>
          </w:tcPr>
          <w:p>
            <w:r>
              <w:t>Current cue/context-conditioned reconstruction drawn from M_i(t). The same M_i(t) may yield different retrieval under different q.</w:t>
            </w:r>
          </w:p>
        </w:tc>
        <w:tc>
          <w:tcPr>
            <w:tcW w:type="dxa" w:w="1728"/>
          </w:tcPr>
          <w:p>
            <w:r>
              <w:t>Memory Interface and Pipeline Integration v0.3</w:t>
            </w:r>
          </w:p>
        </w:tc>
        <w:tc>
          <w:tcPr>
            <w:tcW w:type="dxa" w:w="1728"/>
          </w:tcPr>
          <w:p>
            <w:r>
              <w:t>Current informational output; not identical to stored M_i(t).</w:t>
            </w:r>
          </w:p>
        </w:tc>
      </w:tr>
      <w:tr>
        <w:tc>
          <w:tcPr>
            <w:tcW w:type="dxa" w:w="1728"/>
          </w:tcPr>
          <w:p>
            <w:r>
              <w:t>Expectation state</w:t>
            </w:r>
          </w:p>
        </w:tc>
        <w:tc>
          <w:tcPr>
            <w:tcW w:type="dxa" w:w="1728"/>
          </w:tcPr>
          <w:p>
            <w:r>
              <w:t>K_i(t)</w:t>
            </w:r>
          </w:p>
        </w:tc>
        <w:tc>
          <w:tcPr>
            <w:tcW w:type="dxa" w:w="1728"/>
          </w:tcPr>
          <w:p>
            <w:r>
              <w:t>Generalized anticipatory structure used in bounded forward projection and expectation learning.</w:t>
            </w:r>
          </w:p>
        </w:tc>
        <w:tc>
          <w:tcPr>
            <w:tcW w:type="dxa" w:w="1728"/>
          </w:tcPr>
          <w:p>
            <w:r>
              <w:t>Projection, Expectation, and Prediction Error Interface v0.2</w:t>
            </w:r>
          </w:p>
        </w:tc>
        <w:tc>
          <w:tcPr>
            <w:tcW w:type="dxa" w:w="1728"/>
          </w:tcPr>
          <w:p>
            <w:r>
              <w:t>Informational persistence / decision support; not historical archive, P_i(t), or S_i(t).</w:t>
            </w:r>
          </w:p>
        </w:tc>
      </w:tr>
      <w:tr>
        <w:tc>
          <w:tcPr>
            <w:tcW w:type="dxa" w:w="1728"/>
          </w:tcPr>
          <w:p>
            <w:r>
              <w:t>Confidence / reliability metadata</w:t>
            </w:r>
          </w:p>
        </w:tc>
        <w:tc>
          <w:tcPr>
            <w:tcW w:type="dxa" w:w="1728"/>
          </w:tcPr>
          <w:p>
            <w:r>
              <w:t>object-local metadata</w:t>
            </w:r>
          </w:p>
        </w:tc>
        <w:tc>
          <w:tcPr>
            <w:tcW w:type="dxa" w:w="1728"/>
          </w:tcPr>
          <w:p>
            <w:r>
              <w:t>Confidence, source basis, completeness, freshness, distortion risk, corroboration/cross-check, relevance/scope, or forecast calibration attached to information objects where material.</w:t>
            </w:r>
          </w:p>
        </w:tc>
        <w:tc>
          <w:tcPr>
            <w:tcW w:type="dxa" w:w="1728"/>
          </w:tcPr>
          <w:p>
            <w:r>
              <w:t>Memory Interface v0.3 / Projection-Expectation Interface v0.2</w:t>
            </w:r>
          </w:p>
        </w:tc>
        <w:tc>
          <w:tcPr>
            <w:tcW w:type="dxa" w:w="1728"/>
          </w:tcPr>
          <w:p>
            <w:r>
              <w:t>Metadata; confidence is not truth and no global scalar C_i(t) is canonicalized here.</w:t>
            </w:r>
          </w:p>
        </w:tc>
      </w:tr>
    </w:tbl>
    <w:p>
      <w:pPr>
        <w:pStyle w:val="Heading1"/>
      </w:pPr>
      <w:r>
        <w:t>4. Ownership and Routing Rules</w:t>
      </w:r>
    </w:p>
    <w:p>
      <w:pPr>
        <w:pStyle w:val="ListNumber"/>
      </w:pPr>
      <w:r>
        <w:t>M_i(t) and R^M_i(t,q) are distinct. Stored memory is not automatically active in every decision cycle.</w:t>
      </w:r>
    </w:p>
    <w:p>
      <w:pPr>
        <w:pStyle w:val="ListNumber"/>
      </w:pPr>
      <w:r>
        <w:t>K_i(t) is distinct from M_i(t). Expectation error does not automatically rewrite memory.</w:t>
      </w:r>
    </w:p>
    <w:p>
      <w:pPr>
        <w:pStyle w:val="ListNumber"/>
      </w:pPr>
      <w:r>
        <w:t>P_i(t) is distinct from M_i(t), R^M_i(t,q), and K_i(t). Perception may consume licensed retrieval and expectation inputs but owns present perceived-state formation.</w:t>
      </w:r>
    </w:p>
    <w:p>
      <w:pPr>
        <w:pStyle w:val="ListNumber"/>
      </w:pPr>
      <w:r>
        <w:t>S_i(t) is distinct from all informational/perceived objects. Memory, retrieval, expectation, or confidence do not directly modify actual state.</w:t>
      </w:r>
    </w:p>
    <w:p>
      <w:pPr>
        <w:pStyle w:val="ListNumber"/>
      </w:pPr>
      <w:r>
        <w:t>Confidence/reliability is not accuracy or truth and is primarily attached to a retrieval, proposition, source assessment, forecast, or other information object.</w:t>
      </w:r>
    </w:p>
    <w:p>
      <w:pPr>
        <w:pStyle w:val="ListNumber"/>
      </w:pPr>
      <w:r>
        <w:t>Typed relational memory is a specialization/profile of the general M/R^M substrate; it is not a replacement framework state object.</w:t>
      </w:r>
    </w:p>
    <w:p>
      <w:pPr>
        <w:pStyle w:val="ListNumber"/>
      </w:pPr>
      <w:r>
        <w:t>No Layer 2 operator receives unrestricted raw-memory access merely because M_i(t) exists.</w:t>
      </w:r>
    </w:p>
    <w:p>
      <w:pPr>
        <w:pStyle w:val="Heading1"/>
      </w:pPr>
      <w:r>
        <w:t>4A. R31 PV / PP Ontology Discipline</w:t>
      </w:r>
    </w:p>
    <w:p>
      <w:r>
        <w:t>PV and PP are role-defined categories. An entity, condition, relation, or object is classified by the role it plays in the modeled event or state, not by its everyday label and not merely because it is economically or behaviorally important.</w:t>
      </w:r>
    </w:p>
    <w:p>
      <w:r>
        <w:t>PV classification rule: classify something as PV only when it is transferred, delivered, realized, imposed, or otherwise conveyed through an event or interaction in the sense defined in Section 2.</w:t>
      </w:r>
    </w:p>
    <w:p>
      <w:r>
        <w:t>PP classification rule: classify something as PP only when it constitutes actual capability to generate, transform, coordinate, deploy, preserve, protect, recover, or otherwise produce PV under stated conditions.</w:t>
      </w:r>
    </w:p>
    <w:p>
      <w:r>
        <w:t>SPV classification rule: realized PV retained as a holding for later expenditure, transfer, exchange, consumption, or conversion is SPV. Possession or deployment of SPV may contribute to PP, but the conversion or capability effect must be explicit rather than assumed.</w:t>
      </w:r>
    </w:p>
    <w:p>
      <w:r>
        <w:t>Non-expansion rule: variables such as risk, safety, trust, evidence, authority, obligation, opportunity, access, institutional permission, recovery condition, or harm are not automatically PV or PP. Depending on the model, they may instead be context, relational state, informational evidence, constraints, commitments, viability conditions, consequences, or inputs affecting capability.</w:t>
      </w:r>
    </w:p>
    <w:p>
      <w:r>
        <w:t>Role-transition rule: the same physical or informational object may occupy different PV-PP roles at different times or in different relations. A tool may be received as PV in an exchange, retained as SPV where appropriate, and contribute to PP when deployed as productive capability. These role changes must be represented explicitly; they do not imply that PV, SPV, and PP are interchangeable.</w:t>
      </w:r>
    </w:p>
    <w:p>
      <w:r>
        <w:t>Terminology rule: phrases such as 'PP instance' or 'PV flow' must not be used as convenience labels for every resource, state, influence, or consequence. Subordinate specifications and implementations must identify the actual ontological role before assigning PV/PP terminology.</w:t>
      </w:r>
    </w:p>
    <w:p>
      <w:r>
        <w:t>Domain relation rule: PP need not map one-to-one to a single viability domain. A capability may support multiple domains, and a domain may depend on multiple PP components. Domain relevance does not itself redefine the capability as a new PP category.</w:t>
      </w:r>
    </w:p>
    <w:p>
      <w:pPr>
        <w:pStyle w:val="Heading1"/>
      </w:pPr>
      <w:r>
        <w:t>5. SPV Stock-Flow and PP Conversion Boundary</w:t>
      </w:r>
    </w:p>
    <w:p>
      <w:r>
        <w:t>SPV_i(t+1) = SPV_i(t) + PV_in_i(t) - PV_out_i(t) - PV_consumed_i(t) - PV_decayed_i(t) - PV_destroyed_i(t)</w:t>
      </w:r>
    </w:p>
    <w:p>
      <w:r>
        <w:t>Conversions between SPV and PP must be explicit and contingent. Spending or transforming SPV may increase PP, but the capability increase is not automatic.</w:t>
      </w:r>
    </w:p>
    <w:p>
      <w:pPr>
        <w:pStyle w:val="Heading1"/>
      </w:pPr>
      <w:r>
        <w:t>6. AVS / PVS Boundary</w:t>
      </w:r>
    </w:p>
    <w:p>
      <w:r>
        <w:t>AVS_i(t) = V_i(PP_i(t), SPV_i(t), X_i(t), Q_i(t), A_i(t))</w:t>
      </w:r>
    </w:p>
    <w:p>
      <w:r>
        <w:t>PVS_i(t) = Vhat_i(PPP_i(t), SPVhat_i(t), Xhat_i(t), K_i(t), quality/confidence metadata)</w:t>
      </w:r>
    </w:p>
    <w:p>
      <w:r>
        <w:t>These forms identify dependency, not scalar aggregation. AVS and PVS may remain multidomain and partially ordered. K_i(t) and quality/confidence metadata may shape perceived viability without becoming components of actual state.</w:t>
      </w:r>
    </w:p>
    <w:p>
      <w:pPr>
        <w:pStyle w:val="Heading1"/>
      </w:pPr>
      <w:r>
        <w:t>7. Actual / Perceived / Informational Crosswalk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Actual object</w:t>
            </w:r>
          </w:p>
        </w:tc>
        <w:tc>
          <w:tcPr>
            <w:tcW w:type="dxa" w:w="2160"/>
          </w:tcPr>
          <w:p>
            <w:r>
              <w:t>Perceived counterpart</w:t>
            </w:r>
          </w:p>
        </w:tc>
        <w:tc>
          <w:tcPr>
            <w:tcW w:type="dxa" w:w="2160"/>
          </w:tcPr>
          <w:p>
            <w:r>
              <w:t>Informational support</w:t>
            </w:r>
          </w:p>
        </w:tc>
        <w:tc>
          <w:tcPr>
            <w:tcW w:type="dxa" w:w="2160"/>
          </w:tcPr>
          <w:p>
            <w:r>
              <w:t>Rule</w:t>
            </w:r>
          </w:p>
        </w:tc>
      </w:tr>
      <w:tr>
        <w:tc>
          <w:tcPr>
            <w:tcW w:type="dxa" w:w="2160"/>
          </w:tcPr>
          <w:p>
            <w:r>
              <w:t>PP_i(t)</w:t>
            </w:r>
          </w:p>
        </w:tc>
        <w:tc>
          <w:tcPr>
            <w:tcW w:type="dxa" w:w="2160"/>
          </w:tcPr>
          <w:p>
            <w:r>
              <w:t>PPP_i(t)</w:t>
            </w:r>
          </w:p>
        </w:tc>
        <w:tc>
          <w:tcPr>
            <w:tcW w:type="dxa" w:w="2160"/>
          </w:tcPr>
          <w:p>
            <w:r>
              <w:t>R^M_i(t,q), K_i(t), quality metadata may shape interpretation</w:t>
            </w:r>
          </w:p>
        </w:tc>
        <w:tc>
          <w:tcPr>
            <w:tcW w:type="dxa" w:w="2160"/>
          </w:tcPr>
          <w:p>
            <w:r>
              <w:t>Capability and perceived capability are distinct.</w:t>
            </w:r>
          </w:p>
        </w:tc>
      </w:tr>
      <w:tr>
        <w:tc>
          <w:tcPr>
            <w:tcW w:type="dxa" w:w="2160"/>
          </w:tcPr>
          <w:p>
            <w:r>
              <w:t>SPV_i(t)</w:t>
            </w:r>
          </w:p>
        </w:tc>
        <w:tc>
          <w:tcPr>
            <w:tcW w:type="dxa" w:w="2160"/>
          </w:tcPr>
          <w:p>
            <w:r>
              <w:t>SPVhat_i(t)</w:t>
            </w:r>
          </w:p>
        </w:tc>
        <w:tc>
          <w:tcPr>
            <w:tcW w:type="dxa" w:w="2160"/>
          </w:tcPr>
          <w:p>
            <w:r>
              <w:t>Retrieval/expectation may shape believed access and deployability</w:t>
            </w:r>
          </w:p>
        </w:tc>
        <w:tc>
          <w:tcPr>
            <w:tcW w:type="dxa" w:w="2160"/>
          </w:tcPr>
          <w:p>
            <w:r>
              <w:t>Actual holdings/access and believed holdings/access may diverge.</w:t>
            </w:r>
          </w:p>
        </w:tc>
      </w:tr>
      <w:tr>
        <w:tc>
          <w:tcPr>
            <w:tcW w:type="dxa" w:w="2160"/>
          </w:tcPr>
          <w:p>
            <w:r>
              <w:t>AVS_i(t)</w:t>
            </w:r>
          </w:p>
        </w:tc>
        <w:tc>
          <w:tcPr>
            <w:tcW w:type="dxa" w:w="2160"/>
          </w:tcPr>
          <w:p>
            <w:r>
              <w:t>PVS_i(t)</w:t>
            </w:r>
          </w:p>
        </w:tc>
        <w:tc>
          <w:tcPr>
            <w:tcW w:type="dxa" w:w="2160"/>
          </w:tcPr>
          <w:p>
            <w:r>
              <w:t>K_i(t), retrieval and quality metadata may shape perceived viability</w:t>
            </w:r>
          </w:p>
        </w:tc>
        <w:tc>
          <w:tcPr>
            <w:tcW w:type="dxa" w:w="2160"/>
          </w:tcPr>
          <w:p>
            <w:r>
              <w:t>Actual and perceived viability are explicitly distinct.</w:t>
            </w:r>
          </w:p>
        </w:tc>
      </w:tr>
      <w:tr>
        <w:tc>
          <w:tcPr>
            <w:tcW w:type="dxa" w:w="2160"/>
          </w:tcPr>
          <w:p>
            <w:r>
              <w:t>X_i(t)</w:t>
            </w:r>
          </w:p>
        </w:tc>
        <w:tc>
          <w:tcPr>
            <w:tcW w:type="dxa" w:w="2160"/>
          </w:tcPr>
          <w:p>
            <w:r>
              <w:t>Xhat_i(t)</w:t>
            </w:r>
          </w:p>
        </w:tc>
        <w:tc>
          <w:tcPr>
            <w:tcW w:type="dxa" w:w="2160"/>
          </w:tcPr>
          <w:p>
            <w:r>
              <w:t>Memory/retrieval and expectation may shape interpretation of context</w:t>
            </w:r>
          </w:p>
        </w:tc>
        <w:tc>
          <w:tcPr>
            <w:tcW w:type="dxa" w:w="2160"/>
          </w:tcPr>
          <w:p>
            <w:r>
              <w:t>Actual and interpreted context may diverge.</w:t>
            </w:r>
          </w:p>
        </w:tc>
      </w:tr>
    </w:tbl>
    <w:p>
      <w:pPr>
        <w:pStyle w:val="Heading1"/>
      </w:pPr>
      <w:r>
        <w:t>8. Deferred / Not Canonicalized Here</w:t>
      </w:r>
    </w:p>
    <w:p>
      <w:pPr>
        <w:pStyle w:val="ListBullet"/>
      </w:pPr>
      <w:r>
        <w:t>A separate persistent belief/proposition object B_i(t).</w:t>
      </w:r>
    </w:p>
    <w:p>
      <w:pPr>
        <w:pStyle w:val="ListBullet"/>
      </w:pPr>
      <w:r>
        <w:t>A single global confidence state C_i(t).</w:t>
      </w:r>
    </w:p>
    <w:p>
      <w:pPr>
        <w:pStyle w:val="ListBullet"/>
      </w:pPr>
      <w:r>
        <w:t>Final attention/salience state and its relation to retrieval cue q.</w:t>
      </w:r>
    </w:p>
    <w:p>
      <w:pPr>
        <w:pStyle w:val="ListBullet"/>
      </w:pPr>
      <w:r>
        <w:t>Exact typed mathematical structure of M_i(t) or R^M_i(t,q).</w:t>
      </w:r>
    </w:p>
    <w:p>
      <w:pPr>
        <w:pStyle w:val="ListBullet"/>
      </w:pPr>
      <w:r>
        <w:t>Detailed typed relational-memory subtype taxonomy.</w:t>
      </w:r>
    </w:p>
    <w:p>
      <w:pPr>
        <w:pStyle w:val="ListBullet"/>
      </w:pPr>
      <w:r>
        <w:t>Full prediction-error serialization or runtime schema.</w:t>
      </w:r>
    </w:p>
    <w:p>
      <w:pPr>
        <w:pStyle w:val="ListBullet"/>
      </w:pPr>
      <w:r>
        <w:t>Contaminated-substrate Graph/Π completeness governance.</w:t>
      </w:r>
    </w:p>
    <w:p>
      <w:pPr>
        <w:pStyle w:val="Heading1"/>
      </w:pPr>
      <w:r>
        <w:t>9. Authority</w:t>
      </w:r>
    </w:p>
    <w:p>
      <w:r>
        <w:t>This document is the canonical framework-level symbol and meaning authority for the state and informational reference objects listed here and for the framework-level PV/PP/SPV ontology discipline. It does not own the detailed internal mechanics of memory retrieval, expectation projection/learning, perception formation, runtime persistence, operator-specific read contracts, or application-specific classification. Those documents shall reference these meanings and shall not create competing definitions or broaden PV/PP merely for implementation convenience.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