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 — Core Decision Architecture (V2) — Canonical Specification</w:t>
      </w:r>
    </w:p>
    <w:p>
      <w:pPr>
        <w:jc w:val="center"/>
      </w:pPr>
      <w:r>
        <w:t>Version v2.5 (Governing Domain Orientation Restoration)</w:t>
      </w:r>
    </w:p>
    <w:tbl>
      <w:tblPr>
        <w:tblStyle w:val="TableGrid"/>
        <w:tblW w:type="auto" w:w="0"/>
        <w:jc w:val="center"/>
        <w:tblLook w:firstColumn="1" w:firstRow="1" w:lastColumn="0" w:lastRow="0" w:noHBand="0" w:noVBand="1" w:val="04A0"/>
      </w:tblPr>
      <w:tblGrid>
        <w:gridCol w:w="4824"/>
        <w:gridCol w:w="4824"/>
      </w:tblGrid>
      <w:tr>
        <w:tc>
          <w:tcPr>
            <w:tcW w:type="dxa" w:w="2736"/>
            <w:vAlign w:val="center"/>
            <w:tcMar>
              <w:top w:w="80" w:type="dxa"/>
              <w:bottom w:w="80" w:type="dxa"/>
              <w:left w:w="100" w:type="dxa"/>
              <w:right w:w="100" w:type="dxa"/>
            </w:tcMar>
          </w:tcPr>
          <w:p>
            <w:pPr>
              <w:spacing w:after="40"/>
            </w:pPr>
            <w:r>
              <w:rPr>
                <w:b/>
              </w:rPr>
              <w:t>Category</w:t>
            </w:r>
          </w:p>
        </w:tc>
        <w:tc>
          <w:tcPr>
            <w:tcW w:type="dxa" w:w="6912"/>
            <w:vAlign w:val="center"/>
            <w:tcMar>
              <w:top w:w="80" w:type="dxa"/>
              <w:bottom w:w="80" w:type="dxa"/>
              <w:left w:w="100" w:type="dxa"/>
              <w:right w:w="100" w:type="dxa"/>
            </w:tcMar>
          </w:tcPr>
          <w:p>
            <w:pPr>
              <w:spacing w:after="40"/>
            </w:pPr>
            <w:r>
              <w:t>Master Set</w:t>
            </w:r>
          </w:p>
        </w:tc>
      </w:tr>
      <w:tr>
        <w:tc>
          <w:tcPr>
            <w:tcW w:type="dxa" w:w="2736"/>
            <w:vAlign w:val="center"/>
            <w:tcMar>
              <w:top w:w="80" w:type="dxa"/>
              <w:bottom w:w="80" w:type="dxa"/>
              <w:left w:w="100" w:type="dxa"/>
              <w:right w:w="100" w:type="dxa"/>
            </w:tcMar>
          </w:tcPr>
          <w:p>
            <w:pPr>
              <w:spacing w:after="40"/>
            </w:pPr>
            <w:r>
              <w:rPr>
                <w:b/>
              </w:rPr>
              <w:t>Type</w:t>
            </w:r>
          </w:p>
        </w:tc>
        <w:tc>
          <w:tcPr>
            <w:tcW w:type="dxa" w:w="6912"/>
            <w:vAlign w:val="center"/>
            <w:tcMar>
              <w:top w:w="80" w:type="dxa"/>
              <w:bottom w:w="80" w:type="dxa"/>
              <w:left w:w="100" w:type="dxa"/>
              <w:right w:w="100" w:type="dxa"/>
            </w:tcMar>
          </w:tcPr>
          <w:p>
            <w:pPr>
              <w:spacing w:after="40"/>
            </w:pPr>
            <w:r>
              <w:t>Full replacement canonical revision</w:t>
            </w:r>
          </w:p>
        </w:tc>
      </w:tr>
      <w:tr>
        <w:tc>
          <w:tcPr>
            <w:tcW w:type="dxa" w:w="2736"/>
            <w:vAlign w:val="center"/>
            <w:tcMar>
              <w:top w:w="80" w:type="dxa"/>
              <w:bottom w:w="80" w:type="dxa"/>
              <w:left w:w="100" w:type="dxa"/>
              <w:right w:w="100" w:type="dxa"/>
            </w:tcMar>
          </w:tcPr>
          <w:p>
            <w:pPr>
              <w:spacing w:after="40"/>
            </w:pPr>
            <w:r>
              <w:rPr>
                <w:b/>
              </w:rPr>
              <w:t>Revision focus</w:t>
            </w:r>
          </w:p>
        </w:tc>
        <w:tc>
          <w:tcPr>
            <w:tcW w:type="dxa" w:w="6912"/>
            <w:vAlign w:val="center"/>
            <w:tcMar>
              <w:top w:w="80" w:type="dxa"/>
              <w:bottom w:w="80" w:type="dxa"/>
              <w:left w:w="100" w:type="dxa"/>
              <w:right w:w="100" w:type="dxa"/>
            </w:tcMar>
          </w:tcPr>
          <w:p>
            <w:r>
              <w:t>Perceived-state interface clarification without adding a new Layer 2 operator</w:t>
            </w:r>
          </w:p>
        </w:tc>
      </w:tr>
    </w:tbl>
    <w:p>
      <w:pPr>
        <w:pStyle w:val="Heading1"/>
      </w:pPr>
      <w:r>
        <w:t>1. Purpose</w:t>
      </w:r>
    </w:p>
    <w:p>
      <w:r>
        <w:t>This document states the canonical high-level architecture of the PV–PP Layer 2 decision framework.</w:t>
      </w:r>
    </w:p>
    <w:p>
      <w:r>
        <w:t>Its role is not to replace the operator-level specifications. Its role is to summarize, in one consistent architecture document, the operator sequence, boundary rules, and execution-side discipline that govern Layer 2 after testing, upstream extension, and stabilization.</w:t>
      </w:r>
    </w:p>
    <w:p>
      <w:r>
        <w:t>This revision preserves the current tested operator stack and the v2.3 binding-force clarification while correcting the Layer 2 input-state interface. PPP remains perceived productive capability; it is not the complete perceived internal and external decision state. Layer 2 receives a broader structured perceived decision state Pᵢ(t), of which PPPᵢ(t) is a first-class component. This clarification does not add a new operator, change operator ownership, or alter the tested Layer 2 ordering.</w:t>
      </w:r>
    </w:p>
    <w:p>
      <w:pPr>
        <w:pStyle w:val="Heading1"/>
      </w:pPr>
      <w:r>
        <w:t>2. Architectural Objective</w:t>
      </w:r>
    </w:p>
    <w:p>
      <w:r>
        <w:t>The Layer 2 decision framework governs how an agent or system determines what action structure is admissible, adequate, and finally selectable when viability is under pressure.</w:t>
      </w:r>
    </w:p>
    <w:p>
      <w:r>
        <w:t>Its purpose is not scalar optimization. Its purpose is to preserve governing viability under structurally valid policy construction and non-scalar choice.</w:t>
      </w:r>
    </w:p>
    <w:p>
      <w:r>
        <w:t>The framework must therefore do all of the following in order:</w:t>
      </w:r>
    </w:p>
    <w:p>
      <w:pPr>
        <w:pStyle w:val="ListBullet"/>
      </w:pPr>
      <w:r>
        <w:t>identify what actually governs survival or persistence</w:t>
      </w:r>
    </w:p>
    <w:p>
      <w:pPr>
        <w:pStyle w:val="ListBullet"/>
      </w:pPr>
      <w:r>
        <w:t>classify the current regime</w:t>
      </w:r>
    </w:p>
    <w:p>
      <w:pPr>
        <w:pStyle w:val="ListBullet"/>
      </w:pPr>
      <w:r>
        <w:t>construct the reachable policy space without omission or contamination</w:t>
      </w:r>
    </w:p>
    <w:p>
      <w:pPr>
        <w:pStyle w:val="ListBullet"/>
      </w:pPr>
      <w:r>
        <w:t>validate that the policy space is structurally sufficient</w:t>
      </w:r>
    </w:p>
    <w:p>
      <w:pPr>
        <w:pStyle w:val="ListBullet"/>
      </w:pPr>
      <w:r>
        <w:t>frame the preservation target explicitly</w:t>
      </w:r>
    </w:p>
    <w:p>
      <w:pPr>
        <w:pStyle w:val="ListBullet"/>
      </w:pPr>
      <w:r>
        <w:t>evaluate recoverability relative to that framed target</w:t>
      </w:r>
    </w:p>
    <w:p>
      <w:pPr>
        <w:pStyle w:val="ListBullet"/>
      </w:pPr>
      <w:r>
        <w:t>select non-scalarly only after upstream validity conditions are satisfied</w:t>
      </w:r>
    </w:p>
    <w:p>
      <w:pPr>
        <w:pStyle w:val="ListBullet"/>
      </w:pPr>
      <w:r>
        <w:t>execute under bounded interaction control rather than assuming frictionless or atomic realization</w:t>
      </w:r>
    </w:p>
    <w:p>
      <w:pPr>
        <w:pStyle w:val="ListBullet"/>
      </w:pPr>
      <w:r>
        <w:t>distinguish misperceived or concealed domain damage from visible but non-binding domain damage under acute local dominance and domain devaluation</w:t>
      </w:r>
    </w:p>
    <w:p>
      <w:r>
        <w:t>Any architecture that skips these steps or merges them collapses distinct failure types into one another. That is not allowed.</w:t>
      </w:r>
    </w:p>
    <w:p>
      <w:pPr>
        <w:pStyle w:val="Heading2"/>
      </w:pPr>
      <w:r>
        <w:t>2.1 Layer 2 Input-State Interface</w:t>
      </w:r>
    </w:p>
    <w:p>
      <w:r>
        <w:t>Layer 2 operates on a structured perceived decision state Pᵢ(t). PPPᵢ(t) is the perceived productive-capability component of that state; PPPᵢ(t) is not synonymous with the complete perceived world state.</w:t>
      </w:r>
    </w:p>
    <w:p>
      <w:r>
        <w:t>Pᵢ(t) may carry the perceived capability, viability, reserve/holding, context, uncertainty/confidence, and interpreted or retrieved informational content authorized by the relevant state and interface specifications. Each Layer 2 operator consumes only the subset of that structured state assigned to its owned function. This interface rule does not require every operator to consume every component of Pᵢ(t).</w:t>
      </w:r>
    </w:p>
    <w:p>
      <w:r>
        <w:t>The exact subordinate definitions and ownership of SPV, AVS/PVS, memory, retrieval, expectation-state K, and confidence remain governed by their own canonical or supporting specifications. This document does not resolve those separate interfaces by implication.</w:t>
      </w:r>
    </w:p>
    <w:p>
      <w:pPr>
        <w:pStyle w:val="Heading1"/>
      </w:pPr>
      <w:r>
        <w:t>3. Core Pipeline</w:t>
      </w:r>
    </w:p>
    <w:p>
      <w:pPr>
        <w:pStyle w:val="Heading2"/>
      </w:pPr>
      <w:r>
        <w:t>3.1 Canonical Ordering</w:t>
      </w:r>
    </w:p>
    <w:p>
      <w:pPr>
        <w:jc w:val="center"/>
      </w:pPr>
      <w:r>
        <w:t>Pᵢ(t) → Φ → H → G → ℛ → Graph Layer / seed substrate → Π → Π completeness validation → Constraints → Domain Framing → Adequacy → Σ → ε</w:t>
      </w:r>
    </w:p>
    <w:p>
      <w:pPr>
        <w:pStyle w:val="Heading2"/>
      </w:pPr>
      <w:r>
        <w:t>3.2 Meaning of the Ordering</w:t>
      </w:r>
    </w:p>
    <w:p>
      <w:r>
        <w:t>Each step exists because it performs a distinct function that must not be silently absorbed by later operators. The ordering is not cosmetic.</w:t>
      </w:r>
    </w:p>
    <w:p>
      <w:r>
        <w:t>Pᵢ(t) is an upstream state/interface object, not an additional operator in the canonical ordering. The operator sequence remains Φ → H → G → ℛ → Graph Layer / seed substrate → Π → Π completeness validation → Constraints → Domain Framing → Adequacy → Σ → ε.</w:t>
      </w:r>
    </w:p>
    <w:p>
      <w:pPr>
        <w:pStyle w:val="ListBullet"/>
      </w:pPr>
      <w:r>
        <w:t>graph omission from being mistaken for Π failure</w:t>
      </w:r>
    </w:p>
    <w:p>
      <w:pPr>
        <w:pStyle w:val="ListBullet"/>
      </w:pPr>
      <w:r>
        <w:t>Π omission from being mistaken for adequacy or Σ ambiguity</w:t>
      </w:r>
    </w:p>
    <w:p>
      <w:pPr>
        <w:pStyle w:val="ListBullet"/>
      </w:pPr>
      <w:r>
        <w:t>domain framing error from being mistaken for adequacy failure</w:t>
      </w:r>
    </w:p>
    <w:p>
      <w:pPr>
        <w:pStyle w:val="ListBullet"/>
      </w:pPr>
      <w:r>
        <w:t>missing criticality construction from being mistaken for Σ override tension</w:t>
      </w:r>
    </w:p>
    <w:p>
      <w:pPr>
        <w:pStyle w:val="ListBullet"/>
      </w:pPr>
      <w:r>
        <w:t>infeasible or unreachable paths from contaminating the admissible set</w:t>
      </w:r>
    </w:p>
    <w:p>
      <w:pPr>
        <w:pStyle w:val="ListBullet"/>
      </w:pPr>
      <w:r>
        <w:t>execution-side learning, assistance, or failure from being smuggled backward into upstream operator definitions</w:t>
      </w:r>
    </w:p>
    <w:p>
      <w:pPr>
        <w:pStyle w:val="Heading1"/>
      </w:pPr>
      <w:r>
        <w:t>4. Operator Roles</w:t>
      </w:r>
    </w:p>
    <w:p>
      <w:pPr>
        <w:pStyle w:val="Heading2"/>
      </w:pPr>
      <w:r>
        <w:t>4.1 Pressure Field Operator Φ</w:t>
      </w:r>
    </w:p>
    <w:p>
      <w:r>
        <w:t>Φ maps pressure-field exposure structure. It identifies how current system pressures are distributed across relevant domains and structures. Φ remains representational only: a domain may carry substantial represented pressure and still fail to bind behavior under domain devaluation or acute local dominance. Φ does not classify governing domains. It does not construct policies.</w:t>
      </w:r>
    </w:p>
    <w:p>
      <w:pPr>
        <w:pStyle w:val="Heading2"/>
      </w:pPr>
      <w:r>
        <w:t>4.2 Collapse Horizon Operator H</w:t>
      </w:r>
    </w:p>
    <w:p>
      <w:r>
        <w:t>H maps collapse-horizon structure. It determines how close relevant domains are to threshold breach under current conditions. It does not itself define the governing set. It does not perform policy construction.</w:t>
      </w:r>
    </w:p>
    <w:p>
      <w:pPr>
        <w:pStyle w:val="Heading2"/>
      </w:pPr>
      <w:r>
        <w:t>4.3 Governing Domain Identification Operator G</w:t>
      </w:r>
    </w:p>
    <w:p>
      <w:pPr/>
      <w:r>
        <w:t>G identifies the governing domain set. G is dependency-closed: if a support domain is recovery-necessary for preservation of an already-governing domain, that support domain must also be included in G. Structural governance and effective local binding are not identical; a domain may remain structurally governing even when its governing force is locally devalued in behavior. G does not evaluate adequacy. G does not select policies.</w:t>
      </w:r>
    </w:p>
    <w:p>
      <w:pPr>
        <w:pStyle w:val="Heading2"/>
      </w:pPr>
      <w:r>
        <w:t>4.4 Binding-Force Distortion, Domain Devaluation, and Acute Local Dominance</w:t>
      </w:r>
    </w:p>
    <w:p>
      <w:pPr/>
      <w:r>
        <w:t>Layer 2 must distinguish between two different failure modes. In the first, domain damage is misperceived, concealed, deferred, or misframed. In the second, the damage remains visible or acknowledged but still fails to bind behavior strongly enough to constrain policy construction, relicensing, or execution entry.</w:t>
      </w:r>
    </w:p>
    <w:p>
      <w:pPr/>
      <w:r>
        <w:t>Domain devaluation names the second condition. A domain is devalued when it remains represented in perceived state and may even be verbally recognized as important, yet loses sufficient governing force to constrain behavior relative to a locally dominant corridor or path.</w:t>
      </w:r>
    </w:p>
    <w:p>
      <w:pPr/>
      <w:r>
        <w:t>Acute local dominance names the companion condition in which one immediately salient path becomes so locally dominant that other domains, though still visible, become functionally non-binding in action. This is not equivalent to ordinary soft preference, not equivalent to hard feasibility structure, and not equivalent to Layer 1 transition dynamics.</w:t>
      </w:r>
    </w:p>
    <w:p>
      <w:pPr/>
      <w:r>
        <w:t>This distinction matters because the framework must explain cases in which a person says, in effect, "I know this is damaging work, marriage, health, law, dignity, or future viability, and I still do not care enough right now for that damage to govern action." That is a Layer 2 governance-binding failure. It is not merely ignorance.</w:t>
      </w:r>
    </w:p>
    <w:p>
      <w:pPr/>
      <w:r>
        <w:t>This architecture therefore treats visible but non-binding domain damage as a real Layer 2 phenomenon that may interact with pressure, horizons, governing structure, regime, candidate construction, and later selection, while remaining reducible to none of them individually.</w:t>
      </w:r>
    </w:p>
    <w:p>
      <w:pPr>
        <w:pStyle w:val="Heading2"/>
      </w:pPr>
      <w:r>
        <w:t>4.5 Regime Classification Operator ℛ</w:t>
      </w:r>
    </w:p>
    <w:p>
      <w:r>
        <w:t>ℛ classifies the current regime. Regime matters because policy-family expectations, tolerance for omission, and structural pressure vary across operating conditions. ℛ may consume pressure and horizon structure shaped by acute local dominance and domain devaluation, but regime posture is not identical to those binding-force failures. ℛ does not construct Π. It does not evaluate completeness by itself.</w:t>
      </w:r>
    </w:p>
    <w:p>
      <w:pPr>
        <w:pStyle w:val="Heading2"/>
      </w:pPr>
      <w:r>
        <w:t>4.6 Graph Layer / Seed Substrate</w:t>
      </w:r>
    </w:p>
    <w:p>
      <w:r>
        <w:t>The graph layer is upstream of Π. It constructs the reachable structural substrate from which policies can be built. It must preserve family completeness, reachability discipline, composition completeness, and reduction integrity. Π is graph-bound. Graph omissions are not repaired later by Π.</w:t>
      </w:r>
    </w:p>
    <w:p>
      <w:pPr>
        <w:pStyle w:val="Heading2"/>
      </w:pPr>
      <w:r>
        <w:t>4.7 Policy Construction Operator Π</w:t>
      </w:r>
    </w:p>
    <w:p>
      <w:r>
        <w:t>Π constructs candidate policies from graph-derived seeds. Π may represent graph-borne structural classes, combine graph-borne seeds into candidate policies, and remain bounded. Π may not invent missing transformation classes, add missing graph structure, or silently repair graph omissions.</w:t>
      </w:r>
    </w:p>
    <w:p>
      <w:pPr>
        <w:pStyle w:val="Heading2"/>
      </w:pPr>
      <w:r>
        <w:t>4.8 Π Completeness Validation</w:t>
      </w:r>
    </w:p>
    <w:p>
      <w:r>
        <w:t>Π completeness validation is a hard structural gate. Its role is to determine whether Π has omitted any feasible, materially relevant policy class whose absence would change governing-domain viability prospects, recovery reachability, transition structure, fallback necessity, or governing-critical classification. If materially relevant omission exists, the pipeline must stop upstream.</w:t>
      </w:r>
    </w:p>
    <w:p>
      <w:pPr>
        <w:pStyle w:val="Heading2"/>
      </w:pPr>
      <w:r>
        <w:t>4.9 Constraints</w:t>
      </w:r>
    </w:p>
    <w:p>
      <w:r>
        <w:t>Constraints remove infeasible policies from the validated candidate set. Constraints do not define completeness. Constraints do not repair omission. They operate on what has already passed graph and Π sufficiency discipline.</w:t>
      </w:r>
    </w:p>
    <w:p>
      <w:pPr>
        <w:pStyle w:val="Heading2"/>
      </w:pPr>
      <w:r>
        <w:t>4.10 Domain Framing</w:t>
      </w:r>
    </w:p>
    <w:p>
      <w:r>
        <w:t>Domain Framing explicitly declares the preservation target being evaluated. This step is upstream of Adequacy. It determines what function or viability object is being preserved, whether the object is function-bearing or mechanism-identity-bearing, whether substitution is structurally possible, and whether the framed object has been broadened too far or narrowed too far.</w:t>
      </w:r>
    </w:p>
    <w:p>
      <w:pPr>
        <w:pStyle w:val="Heading2"/>
      </w:pPr>
      <w:r>
        <w:t>4.11 Adequacy</w:t>
      </w:r>
    </w:p>
    <w:p>
      <w:r>
        <w:t>Adequacy evaluates whether framed governing viability is recoverable and preservable above threshold. It is not generic improvement, delay without recovery, scalar tradeoff acceptance, or downstream compensation for missing framing or missing policies. Adequacy requires threshold-preserving continuity or bridge sufficiency, genuine recovery corridor where required, and no hidden cross-domain compensation across the governing set.</w:t>
      </w:r>
    </w:p>
    <w:p>
      <w:pPr>
        <w:pStyle w:val="Heading2"/>
      </w:pPr>
      <w:r>
        <w:t>4.12 Selection Operator Σ</w:t>
      </w:r>
    </w:p>
    <w:p>
      <w:r>
        <w:t>Σ performs non-scalar selection only. Σ operates only after graph construction has produced a valid substrate, Π has passed completeness validation, constraints have been applied, domain framing is explicit, and adequacy has determined the relevant admissible set. Σ does not define governing-critical structure, repair Π omission, repair graph omission, redo adequacy, or smuggle scalar compensation back into the pipeline.</w:t>
      </w:r>
    </w:p>
    <w:p>
      <w:pPr>
        <w:pStyle w:val="Heading2"/>
      </w:pPr>
      <w:r>
        <w:t>4.13 Execution ε</w:t>
      </w:r>
    </w:p>
    <w:p>
      <w:r>
        <w:t>ε is execution. It acts only after upstream selection has completed. This revision clarifies that ε is not always a single-step or frictionless realization event.</w:t>
      </w:r>
    </w:p>
    <w:p>
      <w:r>
        <w:t>Execution may involve bounded interaction control over a selected policy whose viability at entry is provisional rather than completion-guaranteed. The architecture therefore distinguishes:</w:t>
      </w:r>
    </w:p>
    <w:p>
      <w:pPr>
        <w:pStyle w:val="ListBullet"/>
      </w:pPr>
      <w:r>
        <w:t>entry sufficiency: enough structured capability to begin the selected interaction</w:t>
      </w:r>
    </w:p>
    <w:p>
      <w:pPr>
        <w:pStyle w:val="ListBullet"/>
      </w:pPr>
      <w:r>
        <w:t>continuation sufficiency: enough remaining or newly acquired capability to continue under revealed execution conditions</w:t>
      </w:r>
    </w:p>
    <w:p>
      <w:pPr>
        <w:pStyle w:val="ListBullet"/>
      </w:pPr>
      <w:r>
        <w:t>completion sufficiency: enough structured capability to complete the interaction as currently configured</w:t>
      </w:r>
    </w:p>
    <w:p>
      <w:pPr>
        <w:pStyle w:val="ListBullet"/>
      </w:pPr>
      <w:r>
        <w:t>post-execution viability effect: what the realized interaction has done to the broader governing structure</w:t>
      </w:r>
    </w:p>
    <w:p>
      <w:r>
        <w:t>Execution may therefore generate intermediate changes before final realization, including:</w:t>
      </w:r>
    </w:p>
    <w:p>
      <w:pPr>
        <w:pStyle w:val="ListBullet"/>
      </w:pPr>
      <w:r>
        <w:t>new information about hidden difficulty, hidden feasibility, or hidden support requirements</w:t>
      </w:r>
    </w:p>
    <w:p>
      <w:pPr>
        <w:pStyle w:val="ListBullet"/>
      </w:pPr>
      <w:r>
        <w:t>local capability gain or confirmation through learning, tool use, partial success, or support recruitment</w:t>
      </w:r>
    </w:p>
    <w:p>
      <w:pPr>
        <w:pStyle w:val="ListBullet"/>
      </w:pPr>
      <w:r>
        <w:t>local capability degradation through fatigue, damage, cost, delay, or coordination failure</w:t>
      </w:r>
    </w:p>
    <w:p>
      <w:pPr>
        <w:pStyle w:val="ListBullet"/>
      </w:pPr>
      <w:r>
        <w:t>conversion from one-shot execution to staged execution, assisted execution, restructured execution, or abort</w:t>
      </w:r>
    </w:p>
    <w:p>
      <w:r>
        <w:t>This does not create a new Layer 2 operator. It clarifies the execution bridge. ε remains downstream of Σ, but ε is now understood as bounded monitored realization rather than automatic completion.</w:t>
      </w:r>
    </w:p>
    <w:p>
      <w:pPr>
        <w:pStyle w:val="Heading2"/>
      </w:pPr>
      <w:r>
        <w:t>4.14 Execution-Bridge Boundary Rule</w:t>
      </w:r>
    </w:p>
    <w:p>
      <w:r>
        <w:t>Execution-side adaptation must remain bounded. It must not become an unstructured override channel that silently redoes framing, adequacy, or selection after the fact.</w:t>
      </w:r>
    </w:p>
    <w:p>
      <w:pPr>
        <w:pStyle w:val="ListBullet"/>
      </w:pPr>
      <w:r>
        <w:t>Execution may trigger continuation, assisted continuation, staged continuation, restructuring, or abort only under explicit execution-side conditions.</w:t>
      </w:r>
    </w:p>
    <w:p>
      <w:pPr>
        <w:pStyle w:val="ListBullet"/>
      </w:pPr>
      <w:r>
        <w:t>Execution-side discovery may send the system into a later decision cycle with updated PP, an updated perceived decision state Pᵢ(t) including PPPᵢ(t), memory, or expectation-state, but it must not retroactively license an upstream result that was structurally invalid.</w:t>
      </w:r>
    </w:p>
    <w:p>
      <w:pPr>
        <w:pStyle w:val="ListBullet"/>
      </w:pPr>
      <w:r>
        <w:t>Execution may reveal that a selected policy was entry-admissible but not completion-sufficient. That is an execution outcome, not proof that Σ should have been treated as a hidden execution simulator.</w:t>
      </w:r>
    </w:p>
    <w:p>
      <w:pPr>
        <w:pStyle w:val="ListBullet"/>
      </w:pPr>
      <w:r>
        <w:t>Execution-side learning or support recruitment may improve continuation sufficiency without changing the fact that the original Layer 2 result was selected under bounded information and bounded structure.</w:t>
      </w:r>
    </w:p>
    <w:p>
      <w:pPr>
        <w:pStyle w:val="Heading1"/>
      </w:pPr>
      <w:r>
        <w:t>5. Upstream Structural Integrity Rules</w:t>
      </w:r>
    </w:p>
    <w:p>
      <w:pPr>
        <w:pStyle w:val="Heading2"/>
      </w:pPr>
      <w:r>
        <w:t>5.1 No Downstream Compensation</w:t>
      </w:r>
    </w:p>
    <w:p>
      <w:pPr>
        <w:pStyle w:val="ListBullet"/>
      </w:pPr>
      <w:r>
        <w:t>graph omissions are not repaired in Π</w:t>
      </w:r>
    </w:p>
    <w:p>
      <w:pPr>
        <w:pStyle w:val="ListBullet"/>
      </w:pPr>
      <w:r>
        <w:t>Π omissions are not repaired in Adequacy</w:t>
      </w:r>
    </w:p>
    <w:p>
      <w:pPr>
        <w:pStyle w:val="ListBullet"/>
      </w:pPr>
      <w:r>
        <w:t>framing errors are not repaired in Adequacy or Σ</w:t>
      </w:r>
    </w:p>
    <w:p>
      <w:pPr>
        <w:pStyle w:val="ListBullet"/>
      </w:pPr>
      <w:r>
        <w:t>adequacy errors are not repaired in Σ</w:t>
      </w:r>
    </w:p>
    <w:p>
      <w:pPr>
        <w:pStyle w:val="ListBullet"/>
      </w:pPr>
      <w:r>
        <w:t>criticality is not invented inside Σ</w:t>
      </w:r>
    </w:p>
    <w:p>
      <w:pPr>
        <w:pStyle w:val="ListBullet"/>
      </w:pPr>
      <w:r>
        <w:t>execution-side success or failure does not launder upstream invalidity</w:t>
      </w:r>
    </w:p>
    <w:p>
      <w:r>
        <w:t>This rule is central. Without it, the architecture collapses back into informal mixed reasoning.</w:t>
      </w:r>
    </w:p>
    <w:p>
      <w:pPr>
        <w:pStyle w:val="Heading2"/>
      </w:pPr>
      <w:r>
        <w:t>5.2 Graph–Π Boundary</w:t>
      </w:r>
    </w:p>
    <w:p>
      <w:r>
        <w:t>The graph layer and Π are distinct. If the graph lacks a required family: graph failure. If the graph contains the family but Π omits it: Π failure. Those must remain distinguishable.</w:t>
      </w:r>
    </w:p>
    <w:p>
      <w:pPr>
        <w:pStyle w:val="Heading2"/>
      </w:pPr>
      <w:r>
        <w:t>5.3 Mandatory Gate Discipline</w:t>
      </w:r>
    </w:p>
    <w:p>
      <w:r>
        <w:t>No downstream interpretation is structurally valid unless Π completeness validation has passed. Any analysis that proceeds without explicit gate status is incomplete.</w:t>
      </w:r>
    </w:p>
    <w:p>
      <w:pPr>
        <w:pStyle w:val="Heading2"/>
      </w:pPr>
      <w:r>
        <w:t>5.4 Execution Discipline</w:t>
      </w:r>
    </w:p>
    <w:p>
      <w:r>
        <w:t>No execution-side outcome may be used to pretend that upstream construction, framing, or adequacy was structurally unnecessary. Execution clarifies what happened after selection. It does not erase the need for valid upstream architecture.</w:t>
      </w:r>
    </w:p>
    <w:p>
      <w:pPr>
        <w:pStyle w:val="Heading1"/>
      </w:pPr>
      <w:r>
        <w:t>6. Governing-Critical Structure</w:t>
      </w:r>
    </w:p>
    <w:p>
      <w:pPr>
        <w:pStyle w:val="Heading2"/>
      </w:pPr>
      <w:r>
        <w:t>6.1 Core Rule</w:t>
      </w:r>
    </w:p>
    <w:p>
      <w:r>
        <w:t>Governing-critical structure is path-dependent. It is not an intrinsic property of an object. A structure is governingly critical only relative to the active viability object, the governing domains, the reachable continuation / recovery / substitution / exit structure, and the validated policy space.</w:t>
      </w:r>
    </w:p>
    <w:p>
      <w:pPr>
        <w:pStyle w:val="Heading2"/>
      </w:pPr>
      <w:r>
        <w:t>6.2 Constructive Requirement</w:t>
      </w:r>
    </w:p>
    <w:p>
      <w:r>
        <w:t>Criticality must be constructed, not narrated. The framework must determine whether a structure is directly governing, recovery-necessary, near-term indispensable, or bypassable through reachable exit or substitution. If a structure is bypassable through a materially valid preserving path, it is not governingly critical.</w:t>
      </w:r>
    </w:p>
    <w:p>
      <w:pPr>
        <w:pStyle w:val="Heading2"/>
      </w:pPr>
      <w:r>
        <w:t>6.3 Boundary Rule</w:t>
      </w:r>
    </w:p>
    <w:p>
      <w:r>
        <w:t>Σ may consume governing-critical classification where relevant. Σ may not infer it ad hoc.</w:t>
      </w:r>
    </w:p>
    <w:p>
      <w:pPr>
        <w:pStyle w:val="Heading1"/>
      </w:pPr>
      <w:r>
        <w:t>7. Framing Discipline</w:t>
      </w:r>
    </w:p>
    <w:p>
      <w:pPr>
        <w:pStyle w:val="Heading2"/>
      </w:pPr>
      <w:r>
        <w:t>7.1 Function-Level Rule</w:t>
      </w:r>
    </w:p>
    <w:p>
      <w:r>
        <w:t>The active viability object must be declared at the function-bearing level whenever substitution is structurally possible.</w:t>
      </w:r>
    </w:p>
    <w:p>
      <w:pPr>
        <w:pStyle w:val="Heading2"/>
      </w:pPr>
      <w:r>
        <w:t>7.2 Mechanism-Identity Exception</w:t>
      </w:r>
    </w:p>
    <w:p>
      <w:r>
        <w:t>Mechanism identity is only preserved when the exact object is itself the true bearer of the governed function.</w:t>
      </w:r>
    </w:p>
    <w:p>
      <w:pPr>
        <w:pStyle w:val="Heading2"/>
      </w:pPr>
      <w:r>
        <w:t>7.3 Failure Modes</w:t>
      </w:r>
    </w:p>
    <w:p>
      <w:pPr>
        <w:pStyle w:val="ListBullet"/>
      </w:pPr>
      <w:r>
        <w:t>the object is narrowed into mechanism lock</w:t>
      </w:r>
    </w:p>
    <w:p>
      <w:pPr>
        <w:pStyle w:val="ListBullet"/>
      </w:pPr>
      <w:r>
        <w:t>the object is broadened until the focal function disappears</w:t>
      </w:r>
    </w:p>
    <w:p>
      <w:pPr>
        <w:pStyle w:val="ListBullet"/>
      </w:pPr>
      <w:r>
        <w:t>category similarity is mistaken for function equivalence</w:t>
      </w:r>
    </w:p>
    <w:p>
      <w:pPr>
        <w:pStyle w:val="ListBullet"/>
      </w:pPr>
      <w:r>
        <w:t>emergency support is mistaken for durable continuity</w:t>
      </w:r>
    </w:p>
    <w:p>
      <w:pPr>
        <w:pStyle w:val="ListBullet"/>
      </w:pPr>
      <w:r>
        <w:t>patchwork support is treated as continuity without threshold sufficiency</w:t>
      </w:r>
    </w:p>
    <w:p>
      <w:pPr>
        <w:pStyle w:val="Heading1"/>
      </w:pPr>
      <w:r>
        <w:t>8. Reduction Discipline</w:t>
      </w:r>
    </w:p>
    <w:p>
      <w:pPr>
        <w:pStyle w:val="Heading2"/>
      </w:pPr>
      <w:r>
        <w:t>8.1 Reduction Standard</w:t>
      </w:r>
    </w:p>
    <w:p>
      <w:r>
        <w:t>Seed reduction must produce bounded seeds without structural loss.</w:t>
      </w:r>
    </w:p>
    <w:p>
      <w:pPr>
        <w:pStyle w:val="Heading2"/>
      </w:pPr>
      <w:r>
        <w:t>8.2 What Must Remain Visible</w:t>
      </w:r>
    </w:p>
    <w:p>
      <w:pPr>
        <w:pStyle w:val="ListBullet"/>
      </w:pPr>
      <w:r>
        <w:t>retain vs exit</w:t>
      </w:r>
    </w:p>
    <w:p>
      <w:pPr>
        <w:pStyle w:val="ListBullet"/>
      </w:pPr>
      <w:r>
        <w:t>repair vs substitution</w:t>
      </w:r>
    </w:p>
    <w:p>
      <w:pPr>
        <w:pStyle w:val="ListBullet"/>
      </w:pPr>
      <w:r>
        <w:t>direct vs staged recovery</w:t>
      </w:r>
    </w:p>
    <w:p>
      <w:pPr>
        <w:pStyle w:val="ListBullet"/>
      </w:pPr>
      <w:r>
        <w:t>emergency bridge vs durable substitute</w:t>
      </w:r>
    </w:p>
    <w:p>
      <w:pPr>
        <w:pStyle w:val="ListBullet"/>
      </w:pPr>
      <w:r>
        <w:t>burden-release vs burden-retention</w:t>
      </w:r>
    </w:p>
    <w:p>
      <w:pPr>
        <w:pStyle w:val="ListBullet"/>
      </w:pPr>
      <w:r>
        <w:t>mechanism-preserving vs function-preserving</w:t>
      </w:r>
    </w:p>
    <w:p>
      <w:pPr>
        <w:pStyle w:val="ListBullet"/>
      </w:pPr>
      <w:r>
        <w:t>structure-dependent vs structure-bypass paths</w:t>
      </w:r>
    </w:p>
    <w:p>
      <w:pPr>
        <w:pStyle w:val="Heading2"/>
      </w:pPr>
      <w:r>
        <w:t>8.3 Why This Matters</w:t>
      </w:r>
    </w:p>
    <w:p>
      <w:r>
        <w:t>If reduction collapses these classes, Π completeness validation becomes unreliable, adequacy may operate on a degraded substrate, governing-critical derivation may be falsified, and fallback and Σ may inherit false ambiguity.</w:t>
      </w:r>
    </w:p>
    <w:p>
      <w:pPr>
        <w:pStyle w:val="Heading1"/>
      </w:pPr>
      <w:r>
        <w:t>9. System Interpretation</w:t>
      </w:r>
    </w:p>
    <w:p>
      <w:pPr>
        <w:pStyle w:val="Heading2"/>
      </w:pPr>
      <w:r>
        <w:t>9.1 What the Architecture Now Assumes</w:t>
      </w:r>
    </w:p>
    <w:p>
      <w:r>
        <w:t>The architecture now assumes that upstream validity must be earned, not presumed. This is the core structural difference between the current tested framework and earlier compressed versions.</w:t>
      </w:r>
    </w:p>
    <w:p>
      <w:pPr>
        <w:pStyle w:val="Heading2"/>
      </w:pPr>
      <w:r>
        <w:t>9.2 What Has Been Stabilized</w:t>
      </w:r>
    </w:p>
    <w:p>
      <w:r>
        <w:t>perceived decision state Pᵢ(t) as the Layer 2 input interface, with PPPᵢ(t) retained as perceived productive capability</w:t>
      </w:r>
    </w:p>
    <w:p>
      <w:pPr>
        <w:pStyle w:val="ListBullet"/>
      </w:pPr>
      <w:r>
        <w:t>governing-domain dependency closure</w:t>
      </w:r>
    </w:p>
    <w:p>
      <w:pPr>
        <w:pStyle w:val="ListBullet"/>
      </w:pPr>
      <w:r>
        <w:t>graph-layer integration</w:t>
      </w:r>
    </w:p>
    <w:p>
      <w:pPr>
        <w:pStyle w:val="ListBullet"/>
      </w:pPr>
      <w:r>
        <w:t>graph / Π separation</w:t>
      </w:r>
    </w:p>
    <w:p>
      <w:pPr>
        <w:pStyle w:val="ListBullet"/>
      </w:pPr>
      <w:r>
        <w:t>mandatory Π completeness gating</w:t>
      </w:r>
    </w:p>
    <w:p>
      <w:pPr>
        <w:pStyle w:val="ListBullet"/>
      </w:pPr>
      <w:r>
        <w:t>explicit domain framing</w:t>
      </w:r>
    </w:p>
    <w:p>
      <w:pPr>
        <w:pStyle w:val="ListBullet"/>
      </w:pPr>
      <w:r>
        <w:t>adequacy as framed recoverability, not generic improvement</w:t>
      </w:r>
    </w:p>
    <w:p>
      <w:pPr>
        <w:pStyle w:val="ListBullet"/>
      </w:pPr>
      <w:r>
        <w:t>governing-critical constructive dependence on path structure</w:t>
      </w:r>
    </w:p>
    <w:p>
      <w:pPr>
        <w:pStyle w:val="ListBullet"/>
      </w:pPr>
      <w:r>
        <w:t>Σ as bounded non-scalar selection only</w:t>
      </w:r>
    </w:p>
    <w:p>
      <w:pPr>
        <w:pStyle w:val="ListBullet"/>
      </w:pPr>
      <w:r>
        <w:t>ε as bounded execution-side realization rather than an assumed atomic endpoint</w:t>
      </w:r>
    </w:p>
    <w:p>
      <w:pPr>
        <w:pStyle w:val="ListBullet"/>
      </w:pPr>
      <w:r>
        <w:t>explicit distinction between misperceived damage and visible but non-binding domain damage under acute local dominance</w:t>
      </w:r>
    </w:p>
    <w:p>
      <w:pPr>
        <w:pStyle w:val="Heading2"/>
      </w:pPr>
      <w:r>
        <w:t>9.3 What Still Requires Ongoing Discipline</w:t>
      </w:r>
    </w:p>
    <w:p>
      <w:pPr>
        <w:pStyle w:val="ListBullet"/>
      </w:pPr>
      <w:r>
        <w:t>gate reporting</w:t>
      </w:r>
    </w:p>
    <w:p>
      <w:pPr>
        <w:pStyle w:val="ListBullet"/>
      </w:pPr>
      <w:r>
        <w:t>framing declaration</w:t>
      </w:r>
    </w:p>
    <w:p>
      <w:pPr>
        <w:pStyle w:val="ListBullet"/>
      </w:pPr>
      <w:r>
        <w:t>constructive criticality use</w:t>
      </w:r>
    </w:p>
    <w:p>
      <w:pPr>
        <w:pStyle w:val="ListBullet"/>
      </w:pPr>
      <w:r>
        <w:t>graph record completeness</w:t>
      </w:r>
    </w:p>
    <w:p>
      <w:pPr>
        <w:pStyle w:val="ListBullet"/>
      </w:pPr>
      <w:r>
        <w:t>reduction trace justification</w:t>
      </w:r>
    </w:p>
    <w:p>
      <w:pPr>
        <w:pStyle w:val="ListBullet"/>
      </w:pPr>
      <w:r>
        <w:t>execution-side trigger discipline and monitored realization reporting where live work depends on it</w:t>
      </w:r>
    </w:p>
    <w:p>
      <w:r>
        <w:t>This is not a weakness of the architecture. It is a requirement of using it correctly.</w:t>
      </w:r>
    </w:p>
    <w:p>
      <w:pPr>
        <w:pStyle w:val="Heading1"/>
      </w:pPr>
      <w:r>
        <w:t>10. Summary</w:t>
      </w:r>
    </w:p>
    <w:p>
      <w:r>
        <w:t>This harmonized core file states the current tested Layer 2 architecture as follows:</w:t>
      </w:r>
    </w:p>
    <w:p>
      <w:r>
        <w:t>Layer 2 receives structured perceived decision state Pᵢ(t); PPPᵢ(t) is its perceived productive-capability component, not the whole perceived state</w:t>
      </w:r>
    </w:p>
    <w:p>
      <w:pPr>
        <w:pStyle w:val="ListBullet"/>
      </w:pPr>
      <w:r>
        <w:t>the pipeline is strictly ordered</w:t>
      </w:r>
    </w:p>
    <w:p>
      <w:pPr>
        <w:pStyle w:val="ListBullet"/>
      </w:pPr>
      <w:r>
        <w:t>the graph layer is first-class and upstream of Π</w:t>
      </w:r>
    </w:p>
    <w:p>
      <w:pPr>
        <w:pStyle w:val="ListBullet"/>
      </w:pPr>
      <w:r>
        <w:t>Π is graph-bound</w:t>
      </w:r>
    </w:p>
    <w:p>
      <w:pPr>
        <w:pStyle w:val="ListBullet"/>
      </w:pPr>
      <w:r>
        <w:t>Π completeness validation is a hard gate</w:t>
      </w:r>
    </w:p>
    <w:p>
      <w:pPr>
        <w:pStyle w:val="ListBullet"/>
      </w:pPr>
      <w:r>
        <w:t>domain framing is explicit and upstream of adequacy</w:t>
      </w:r>
    </w:p>
    <w:p>
      <w:pPr>
        <w:pStyle w:val="ListBullet"/>
      </w:pPr>
      <w:r>
        <w:t>adequacy evaluates framed recoverability, not generic improvement</w:t>
      </w:r>
    </w:p>
    <w:p>
      <w:pPr>
        <w:pStyle w:val="ListBullet"/>
      </w:pPr>
      <w:r>
        <w:t>governing-critical structure is constructively path-dependent</w:t>
      </w:r>
    </w:p>
    <w:p>
      <w:pPr>
        <w:pStyle w:val="ListBullet"/>
      </w:pPr>
      <w:r>
        <w:t>Σ performs bounded non-scalar selection only</w:t>
      </w:r>
    </w:p>
    <w:p>
      <w:pPr>
        <w:pStyle w:val="ListBullet"/>
      </w:pPr>
      <w:r>
        <w:t>ε performs bounded execution-side realization and may include monitored continuation, staged execution, assistance, restructuring, or abort under explicit execution conditions</w:t>
      </w:r>
    </w:p>
    <w:p>
      <w:pPr>
        <w:pStyle w:val="ListBullet"/>
      </w:pPr>
      <w:r>
        <w:t>downstream operators do not compensate for upstream failure</w:t>
      </w:r>
    </w:p>
    <w:p>
      <w:r>
        <w:t>That is now the canonical high-level architecture.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Decision Framework — Core Decision Architecture (V2) — Canonical Specification</dc:title>
  <dc:subject>Layer 2 core architecture</dc:subject>
  <dc:creator>OpenAI</dc:creator>
  <cp:keywords/>
  <dc:description>Version v2.2 (Execution-Bridge Harmonization)</dc:description>
  <cp:lastModifiedBy/>
  <cp:revision>1</cp:revision>
  <dcterms:created xsi:type="dcterms:W3CDTF">2013-12-23T23:15:00Z</dcterms:created>
  <dcterms:modified xsi:type="dcterms:W3CDTF">2013-12-23T23:15:00Z</dcterms:modified>
  <cp:category/>
</cp:coreProperties>
</file>