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PV-PP Decision Framework</w:t>
      </w:r>
    </w:p>
    <w:p>
      <w:pPr>
        <w:jc w:val="center"/>
      </w:pPr>
      <w:r>
        <w:rPr>
          <w:i/>
          <w:sz w:val="21"/>
        </w:rPr>
        <w:t>Formal Definition of the Σ Selection Operator — Canonical Mathematical Specification</w:t>
        <w:br/>
        <w:t>Revision v1.14 — Formal Censor-Aware Horizon Comparison</w:t>
      </w:r>
    </w:p>
    <w:p>
      <w:pPr>
        <w:pStyle w:val="Heading1"/>
      </w:pPr>
      <w:r>
        <w:t>1. Purpose</w:t>
      </w:r>
    </w:p>
    <w:p>
      <w:pPr>
        <w:pStyle w:val="BodyCustom"/>
      </w:pPr>
      <w:r>
        <w:t>The Σ Selection Operator selects from the ordinary admissible policy set supplied by the upstream Layer 2 pipeline. Σ is a non-scalar selector. It does not repair upstream omission, redefine governing domains, re-run feasibility, or re-interpret adequacy.</w:t>
      </w:r>
    </w:p>
    <w:p>
      <w:pPr>
        <w:pStyle w:val="Heading1"/>
      </w:pPr>
      <w:r>
        <w:t>2. Architectural Position</w:t>
      </w:r>
    </w:p>
    <w:p>
      <w:pPr>
        <w:pStyle w:val="BodyCustom"/>
      </w:pPr>
      <w:r>
        <w:t>Canonical Layer 2 ordering:</w:t>
      </w:r>
    </w:p>
    <w:p>
      <w:pPr>
        <w:pStyle w:val="BodyCustom"/>
      </w:pPr>
      <w:r>
        <w:t>P_I(t) → Φ → H → G → ℛ → Graph Layer / seed substrate → Π → Π completeness validation → Constraints → Domain Framing → Adequacy → Σ → ε</w:t>
      </w:r>
    </w:p>
    <w:p>
      <w:pPr>
        <w:pStyle w:val="BodyCustom"/>
      </w:pPr>
      <w:r>
        <w:t>Accordingly, Σ operates only after candidate sufficiency, feasibility filtering, framing discipline, and adequacy classification are already satisfied.</w:t>
      </w:r>
    </w:p>
    <w:p>
      <w:pPr>
        <w:pStyle w:val="Heading1"/>
      </w:pPr>
      <w:r>
        <w:t>3. Inputs</w:t>
      </w:r>
    </w:p>
    <w:p>
      <w:pPr>
        <w:pStyle w:val="BodyCustom"/>
      </w:pPr>
      <w:r>
        <w:t>3.1 Ordinary admissible set  A_ord(t).  This is the ordinary admissible policy set delivered by the upstream pipeline after Π completeness validation, Constraints, Domain Framing, and Adequacy have already done their work.</w:t>
      </w:r>
    </w:p>
    <w:p>
      <w:pPr>
        <w:pStyle w:val="BodyCustom"/>
      </w:pPr>
      <w:r>
        <w:t>3.2 Governing domain set  G_I(t).  The governing domain set is supplied from upstream. Σ must not construct, shrink, or redefine G_I(t).</w:t>
      </w:r>
    </w:p>
    <w:p>
      <w:pPr>
        <w:pStyle w:val="BodyCustom"/>
      </w:pPr>
      <w:r>
        <w:t>3.3 Shared projection outputs. Σ consumes the authoritative policy-conditional projection record Q_t(π) produced by the Shared Policy-Conditional Projection Service. In particular, T_k^ext(t | π) denotes the service-owned projected collapse horizon for domain k under policy π. Σ does not recompute, extrapolate, normalize, or otherwise transform this object.</w:t>
      </w:r>
    </w:p>
    <w:p>
      <w:pPr>
        <w:pStyle w:val="BodyCustom"/>
      </w:pPr>
      <w:r>
        <w:t>3.4 Right-censoring status. If no modeled collapse occurs within the common licensed projection horizon L_P(t), Q_t(π) records T_k^ext(t | π) &gt; L_P(t) as right-censored. The censoring flag is part of the input to Σ.</w:t>
      </w:r>
    </w:p>
    <w:p>
      <w:pPr>
        <w:pStyle w:val="Heading1"/>
      </w:pPr>
      <w:r>
        <w:t>4. Output</w:t>
      </w:r>
    </w:p>
    <w:p>
      <w:pPr>
        <w:pStyle w:val="BodyCustom"/>
      </w:pPr>
      <w:r>
        <w:t>Σ returns a single ordinary selected policy π*_ord(t) when the ordinary admissible set is non-empty. Fallback-sensitive structures remain governed by the separate fallback rule family and addendum; they are not collapsed into the ordinary-case selector.</w:t>
      </w:r>
    </w:p>
    <w:p>
      <w:pPr>
        <w:pStyle w:val="Heading1"/>
      </w:pPr>
      <w:r>
        <w:t>5. Scope Boundary</w:t>
      </w:r>
    </w:p>
    <w:p>
      <w:pPr>
        <w:pStyle w:val="ListBullet"/>
      </w:pPr>
      <w:r>
        <w:t>Σ does not perform governing-domain construction.</w:t>
      </w:r>
    </w:p>
    <w:p>
      <w:pPr>
        <w:pStyle w:val="ListBullet"/>
      </w:pPr>
      <w:r>
        <w:t>Σ does not perform Π completeness validation.</w:t>
      </w:r>
    </w:p>
    <w:p>
      <w:pPr>
        <w:pStyle w:val="ListBullet"/>
      </w:pPr>
      <w:r>
        <w:t>Σ does not perform feasibility filtering.</w:t>
      </w:r>
    </w:p>
    <w:p>
      <w:pPr>
        <w:pStyle w:val="ListBullet"/>
      </w:pPr>
      <w:r>
        <w:t>Σ does not repair bad domain framing.</w:t>
      </w:r>
    </w:p>
    <w:p>
      <w:pPr>
        <w:pStyle w:val="ListBullet"/>
      </w:pPr>
      <w:r>
        <w:t>Σ does not determine adequacy.</w:t>
      </w:r>
    </w:p>
    <w:p>
      <w:pPr>
        <w:pStyle w:val="ListBullet"/>
      </w:pPr>
      <w:r>
        <w:t>Σ does not launder upstream invalidity through downstream choice.</w:t>
      </w:r>
    </w:p>
    <w:p>
      <w:pPr>
        <w:pStyle w:val="ListBullet"/>
      </w:pPr>
      <w:r>
        <w:t>Σ does not perform execution-side realization. That work belongs to ε.</w:t>
      </w:r>
    </w:p>
    <w:p>
      <w:pPr>
        <w:pStyle w:val="Heading1"/>
      </w:pPr>
      <w:r>
        <w:t>6. Ordinary-Case Selection Rule</w:t>
      </w:r>
    </w:p>
    <w:p>
      <w:pPr>
        <w:pStyle w:val="BodyCustom"/>
      </w:pPr>
      <w:r>
        <w:t>Σ applies a three-stage non-scalar reduction over the ordinary admissible set.</w:t>
      </w:r>
    </w:p>
    <w:p>
      <w:pPr>
        <w:pStyle w:val="BodyCustom"/>
      </w:pPr>
      <w:r>
        <w:t>6.0 Censor-Aware Horizon Comparison. Let x and y be policy-conditioned projected collapse-horizon observations for the same domain under the common licensed projection horizon L_P(t). Define x ⪰ₚ y as follows: (i) if both x and y are exact, x ⪰ₚ y iff x ≥ y; (ii) if x is right-censored as x &gt; L_P(t) and y is exact with y ≤ L_P(t), then x ≻ₚ y; (iii) if x is exact with x ≤ L_P(t) and y is right-censored as y &gt; L_P(t), then y ≻ₚ x; (iv) if both are right-censored at the same L_P(t), then x ⪰ₚ y and y ⪰ₚ x, but neither is strictly greater. No ordering beyond L_P(t) may be inferred.</w:t>
      </w:r>
    </w:p>
    <w:p>
      <w:pPr>
        <w:pStyle w:val="BodyCustom"/>
      </w:pPr>
      <w:r>
        <w:t>Strict comparison x ≻ₚ y holds iff x ⪰ₚ y and not(y ⪰ₚ x). This censor-aware relation is the only horizon comparison relation used by Stages 1 and 2.</w:t>
      </w:r>
    </w:p>
    <w:p>
      <w:pPr>
        <w:pStyle w:val="Heading2"/>
      </w:pPr>
      <w:r>
        <w:t>6.1 Stage 1 — Governing-Domain Non-Domination</w:t>
      </w:r>
    </w:p>
    <w:p>
      <w:pPr>
        <w:pStyle w:val="BodyCustom"/>
      </w:pPr>
      <w:r>
        <w:t>Define governing-domain dominance over A_ord(t): π_a ⪰_G π_b iff, for every k in G_I(t), T_k^ext(t | π_a) ⪰ₚ T_k^ext(t | π_b). Strict governing-domain dominance obtains when π_a ⪰_G π_b and there exists at least one governing domain k for which T_k^ext(t | π_a) ≻ₚ T_k^ext(t | π_b).</w:t>
      </w:r>
    </w:p>
    <w:p>
      <w:pPr>
        <w:pStyle w:val="BodyCustom"/>
      </w:pPr>
      <w:r/>
    </w:p>
    <w:p>
      <w:pPr>
        <w:pStyle w:val="BodyCustom"/>
      </w:pPr>
      <w:r/>
    </w:p>
    <w:p>
      <w:pPr>
        <w:pStyle w:val="BodyCustom"/>
      </w:pPr>
      <w:r>
        <w:t>Retain the governing-domain non-dominated frontier:</w:t>
      </w:r>
    </w:p>
    <w:p>
      <w:pPr>
        <w:pStyle w:val="BodyCustom"/>
      </w:pPr>
      <w:r>
        <w:t>A_1(t) = { π in A_ord(t) : there does not exist π' in A_ord(t) such that π' strictly dominates π on governing domains }</w:t>
      </w:r>
    </w:p>
    <w:p>
      <w:pPr>
        <w:pStyle w:val="Heading2"/>
      </w:pPr>
      <w:r>
        <w:t>6.2 Stage 2 — Global Dominance Refinement</w:t>
      </w:r>
    </w:p>
    <w:p>
      <w:pPr>
        <w:pStyle w:val="BodyCustom"/>
      </w:pPr>
      <w:r>
        <w:t>Within A_1(t), apply the same censor-aware dominance logic over all active domains D: π_a ⪰ π_b iff, for every k in D, T_k^ext(t | π_a) ⪰ₚ T_k^ext(t | π_b). Strict global dominance requires this weak relation plus at least one active domain k for which T_k^ext(t | π_a) ≻ₚ T_k^ext(t | π_b).</w:t>
      </w:r>
    </w:p>
    <w:p>
      <w:pPr>
        <w:pStyle w:val="BodyCustom"/>
      </w:pPr>
      <w:r/>
    </w:p>
    <w:p>
      <w:pPr>
        <w:pStyle w:val="BodyCustom"/>
      </w:pPr>
      <w:r>
        <w:t>Retain the globally non-dominated subset:</w:t>
      </w:r>
    </w:p>
    <w:p>
      <w:pPr>
        <w:pStyle w:val="BodyCustom"/>
      </w:pPr>
      <w:r>
        <w:t>A_2(t) = { π in A_1(t) : there does not exist π' in A_1(t) such that π' strictly dominates π over all active domains }</w:t>
      </w:r>
    </w:p>
    <w:p>
      <w:pPr>
        <w:pStyle w:val="BodyCustom"/>
      </w:pPr>
      <w:r>
        <w:t>Stage 2 may refine among governing-frontier policies, but it must not eliminate a policy merely because another policy improves a non-governing domain unless that alternative strictly dominates across all active domains.</w:t>
      </w:r>
    </w:p>
    <w:p>
      <w:pPr>
        <w:pStyle w:val="Heading2"/>
      </w:pPr>
      <w:r>
        <w:t>6.3 Stage 3 — Deterministic Tie Resolution</w:t>
      </w:r>
    </w:p>
    <w:p>
      <w:pPr>
        <w:pStyle w:val="BodyCustom"/>
      </w:pPr>
      <w:r>
        <w:t>If |A_2(t)| = 1, select that policy directly. If |A_2(t)| &gt; 1, Σ resolves the tie by a fixed, state-independent, deterministic order index over the surviving set. This tie rule may be simple, but it must be deterministic and must not smuggle scalar aggregation back into the selector.</w:t>
      </w:r>
    </w:p>
    <w:p>
      <w:pPr>
        <w:pStyle w:val="BodyCustom"/>
      </w:pPr>
      <w:r>
        <w:t>Accordingly:</w:t>
      </w:r>
    </w:p>
    <w:p>
      <w:pPr>
        <w:pStyle w:val="BodyCustom"/>
      </w:pPr>
      <w:r>
        <w:t>π*_ord(t) = arg min over π in A_2(t) of OrderIndex(π)</w:t>
      </w:r>
    </w:p>
    <w:p>
      <w:pPr>
        <w:pStyle w:val="Heading1"/>
      </w:pPr>
      <w:r>
        <w:t>7. Empty-Set Condition</w:t>
      </w:r>
    </w:p>
    <w:p>
      <w:pPr>
        <w:pStyle w:val="BodyCustom"/>
      </w:pPr>
      <w:r>
        <w:t>If the ordinary admissible set is empty, ordinary selection is unavailable. In that case, the architecture does not ask Σ to pretend that a valid ordinary choice exists. The system passes to the separately governed fallback structure rather than reinterpreting emptiness as ordinary choice.</w:t>
      </w:r>
    </w:p>
    <w:p>
      <w:pPr>
        <w:pStyle w:val="Heading1"/>
      </w:pPr>
      <w:r>
        <w:t>8. Relationship to the Fallback Addendum</w:t>
      </w:r>
    </w:p>
    <w:p>
      <w:pPr>
        <w:pStyle w:val="BodyCustom"/>
      </w:pPr>
      <w:r>
        <w:t>The ordinary-case selector defined here is distinct from recovery-unavailable fallback comparison, bounded override, and maneuver-space protections described in the Selection Operator Σ and Fallback Structure — Parameterization Addendum (V2). Those govern special downstream comparison conditions when fallback has already been licensed; they do not replace the ordinary-case selection rule in this file.</w:t>
      </w:r>
    </w:p>
    <w:p>
      <w:pPr>
        <w:pStyle w:val="Heading1"/>
      </w:pPr>
      <w:r>
        <w:t>9. Relationship to ε</w:t>
      </w:r>
    </w:p>
    <w:p>
      <w:pPr>
        <w:pStyle w:val="BodyCustom"/>
      </w:pPr>
      <w:r>
        <w:t>ε realizes the policy selected by Σ under bounded execution discipline. ε must not re-run the three-stage reduction, re-open ordinary selection, or reclassify the selected policy. Σ selects; ε realizes.</w:t>
      </w:r>
    </w:p>
    <w:p>
      <w:pPr>
        <w:pStyle w:val="Heading1"/>
      </w:pPr>
      <w:r>
        <w:t>10. Structural Properties</w:t>
      </w:r>
    </w:p>
    <w:p>
      <w:pPr>
        <w:pStyle w:val="ListBullet"/>
      </w:pPr>
      <w:r>
        <w:t>Non-scalar: Σ does not aggregate domains into a single score.</w:t>
      </w:r>
    </w:p>
    <w:p>
      <w:pPr>
        <w:pStyle w:val="ListBullet"/>
      </w:pPr>
      <w:r>
        <w:t>Selection-only: Σ consumes an already-upstream-licensed ordinary admissible set.</w:t>
      </w:r>
    </w:p>
    <w:p>
      <w:pPr>
        <w:pStyle w:val="ListBullet"/>
      </w:pPr>
      <w:r>
        <w:t>Deterministic: same inputs yield the same ordinary selected policy.</w:t>
      </w:r>
    </w:p>
    <w:p>
      <w:pPr>
        <w:pStyle w:val="ListBullet"/>
      </w:pPr>
      <w:r>
        <w:t>Governing-domain-first: governing domains constrain Stage 1 before any all-domain refinement.</w:t>
      </w:r>
    </w:p>
    <w:p>
      <w:pPr>
        <w:pStyle w:val="ListBullet"/>
      </w:pPr>
      <w:r>
        <w:t>Projection-consistent: Σ consumes shared projection outputs and does not recompute them.</w:t>
      </w:r>
    </w:p>
    <w:p>
      <w:pPr>
        <w:pStyle w:val="Heading1"/>
      </w:pPr>
      <w:r>
        <w:t>11. Summary</w:t>
      </w:r>
    </w:p>
    <w:p>
      <w:pPr>
        <w:pStyle w:val="BodyCustom"/>
      </w:pPr>
      <w:r>
        <w:t>Σ is the ordinary non-scalar selector of the current Layer 2 architecture. It selects from the already-upstream-validated admissible set by governing-domain non-domination, all-domain refinement within that frontier, and deterministic tie resolution. It does not absorb adequacy, feasibility, or execution.</w:t>
      </w:r>
    </w:p>
    <w:p>
      <w:pPr>
        <w:pStyle w:val="Heading1"/>
      </w:pPr>
      <w:r>
        <w:t>Version 2 Interface Propagation Boundary</w:t>
      </w:r>
    </w:p>
    <w:p>
      <w:pPr/>
      <w:r>
        <w:t>Revision v1.14 propagates the broader perceived-state interface at the head of the Layer 2 stack. P_I(t), not PPP alone, is the structured perceived decision-state interface; PPP remains its perceived productive-capability component. No Σ comparison, adequacy, fallback, or selection rule is changed by this propagation.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after="120" w:line="276" w:lineRule="auto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