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Decision Framework</w:t>
        <w:br/>
        <w:t>Policy Construction Operator Π — Canonical Specification (V2)</w:t>
        <w:br/>
        <w:t>Version v0.8</w:t>
      </w:r>
    </w:p>
    <w:p>
      <w:r>
        <w:rPr>
          <w:b/>
        </w:rPr>
        <w:t>File Name</w:t>
        <w:br/>
      </w:r>
      <w:r>
        <w:t>PV-PP Decision Framework — Policy Construction Operator Π — Canonical Specification (V2)</w:t>
      </w:r>
    </w:p>
    <w:p>
      <w:r>
        <w:rPr>
          <w:b/>
        </w:rPr>
        <w:t>Version</w:t>
        <w:br/>
        <w:t>v0.8 (Version 2.1 — Purpose / Objective Input and Authority Reconciliation)</w:t>
      </w:r>
      <w:r/>
    </w:p>
    <w:p>
      <w:r>
        <w:rPr>
          <w:b/>
        </w:rPr>
        <w:t>Category</w:t>
        <w:br/>
      </w:r>
      <w:r>
        <w:t>Master Set</w:t>
      </w:r>
    </w:p>
    <w:p>
      <w:r>
        <w:rPr>
          <w:b/>
        </w:rPr>
        <w:t>Type</w:t>
        <w:br/>
      </w:r>
      <w:r>
        <w:t>Full replacement canonical revision</w:t>
      </w:r>
    </w:p>
    <w:p>
      <w:pPr>
        <w:pStyle w:val="Heading1"/>
      </w:pPr>
      <w:r>
        <w:t>1. Purpose</w:t>
      </w:r>
    </w:p>
    <w:p>
      <w:r>
        <w:t>The Policy Construction Operator Π generates the bounded candidate policy set for downstream evaluation. It defines what the agent is capable of considering at time t under current regime, structured perceived decision state, governing-domain structure, authorized historically conditioned/expectation-shaped inputs, and context. Π is generative rather than optimizing. It does not evaluate viability, enforce adequacy, perform final selection, or act as a raw-memory interpreter.</w:t>
      </w:r>
    </w:p>
    <w:p>
      <w:pPr>
        <w:pStyle w:val="Heading1"/>
      </w:pPr>
      <w:r>
        <w:t>2. Inputs</w:t>
      </w:r>
    </w:p>
    <w:p>
      <w:r>
        <w:t>Π consumes P_I(t), R_I(t), G_I(t), and ĉ_I(t), together with only explicitly licensed derived informational inputs. P_I(t) supplies the structured perceived decision-state interface. Under R2, Π may use policy-generation-relevant PPP_I(t), SPVhat_I(t), PVS_I(t), and perceived context. Under R4/R22, Π does not receive unrestricted raw M_I(t). Historically conditioned policy-generation effects must arrive through P_I(t), graph/reachability structure, quality-marked retrieval-derived state, expectation-shaped projection/derived evidence, or another explicit owner-approved interface. R_I(t) supplies regime posture and G_I(t) supplies governing-domain structure.</w:t>
      </w:r>
    </w:p>
    <w:p>
      <w:pPr/>
      <w:r>
        <w:t>R1/R2/R4 input boundary: P_I(t) is a state/interface object, not a new operator. Π receives only policy-generation-relevant inputs. Actual AVS_I(t) and actual SPV_I(t) are not ordinary Π inputs. Raw retained memory M_I(t) is not a direct Π input. Current active commitments, active-policy carry-forward, encumbrances, or other execution-persistence objects must enter through their actual owners rather than being relabeled as memory. Cue-conditioned historical influence may shape Π only after it has been retrieved/interpreted or otherwise converted into an explicitly licensed derived input.</w:t>
      </w:r>
    </w:p>
    <w:p>
      <w:pPr/>
      <w:r>
        <w:t>R4/R22 authority rule: Memory Interface and Pipeline Integration v0.4 owns M_I(t), retrieval R^M_I(t,q), and memory-routing semantics; Perception v0.9 owns P_I(t) formation; Projection/Expectation Interface v0.2 owns K_I(t), projection, and typed expectation updating. Π owns only candidate-policy construction from authorized inputs and must not reconstruct, reinterpret, or globally search memory on its own.</w:t>
      </w:r>
    </w:p>
    <w:p>
      <w:pPr/>
      <w:r>
        <w:t>R2 state-authority rule: Π owns candidate-policy construction, not the definitions of PPP, SPVhat, PVS, AVS, or SPV. Those meanings are owned by PV-PP Canonical State Object and Symbol Table v0.5. No conversion of holdings, capability, or viability into a scalar objective is authorized here.</w:t>
      </w:r>
    </w:p>
    <w:p>
      <w:pPr>
        <w:pStyle w:val="Heading1"/>
      </w:pPr>
      <w:r>
        <w:t>3. Output</w:t>
      </w:r>
    </w:p>
    <w:p>
      <w:r>
        <w:t>Π_I(t) = {π_1, π_2, …, π_n}. The output is a finite candidate policy set. The set is bounded and need not be exhaustive. It must, however, satisfy regime-relative structural completeness under the current architecture.</w:t>
      </w:r>
    </w:p>
    <w:p>
      <w:pPr>
        <w:pStyle w:val="Heading1"/>
      </w:pPr>
      <w:r>
        <w:t>4. Core Principle</w:t>
      </w:r>
    </w:p>
    <w:p>
      <w:r>
        <w:t>Π is a bounded, regime-shaped generator rather than an exhaustive enumerator. It must satisfy regime-relative completeness, sensitivity to perception limits, inclusion of continuation behavior, and bounded path dependence. Π does not evaluate viability, perform projection ranking, perform adequacy testing, or perform final non-scalar choice.</w:t>
      </w:r>
    </w:p>
    <w:p>
      <w:pPr>
        <w:pStyle w:val="Heading1"/>
      </w:pPr>
      <w:r>
        <w:t>5. Policy Definition</w:t>
      </w:r>
    </w:p>
    <w:p>
      <w:r>
        <w:t>A policy π is an action sequence or rule over horizon h_π. Policies may be single-step, multi-step, conditional, reversible, irreversible, continuation-like, or structurally transformative. Where relevant, policy descriptions may include operations on perceived holdings such as conserve, spend, consume, transfer, exchange, liquidate, reserve, or invest SPV. Such generation does not assert that the perceived holding actually exists or is feasible to access; Constraints owns that determination. Policies may also carry internal execution state σ_π(t), but Π itself does not own execution monitoring.</w:t>
      </w:r>
    </w:p>
    <w:p>
      <w:pPr>
        <w:pStyle w:val="Heading1"/>
      </w:pPr>
      <w:r>
        <w:t>6. Required Policy Families</w:t>
      </w:r>
    </w:p>
    <w:p>
      <w:r>
        <w:t>Π must generate from four canonical families: continuation policies, local adjustment policies, structural shift policies, and emergency or escape policies. Continuation is mandatory. The other families expand or contract with regime. Exit, transfer, substitution, liquidation, conservation, deployment, and investment variants may arise where perceived holdings or capability make them generatively relevant; they remain governed further by Π completeness validation.</w:t>
      </w:r>
    </w:p>
    <w:p>
      <w:pPr>
        <w:pStyle w:val="Heading1"/>
      </w:pPr>
      <w:r>
        <w:t>7. Regime-Dependent Generation</w:t>
      </w:r>
    </w:p>
    <w:p>
      <w:r>
        <w:t>Mission favors continuation and local adjustment with minimal structural or escape generation. Stabilization expands local adjustment and selected structural alternatives. Survival expands structural and escape families materially. Existential activates maximal bounded expansion across all families.</w:t>
      </w:r>
    </w:p>
    <w:p>
      <w:pPr>
        <w:pStyle w:val="Heading1"/>
      </w:pPr>
      <w:r>
        <w:t>8. Governing-Domain Bias</w:t>
      </w:r>
    </w:p>
    <w:p>
      <w:r>
        <w:t>Generation is biased toward G_I(t). Policies affecting governing domains are preferentially generated; policies unrelated to governing domains are increasingly suppressed as pressure escalates. This bias intensifies with regime severity but does not by itself eliminate structurally required alternatives.</w:t>
      </w:r>
    </w:p>
    <w:p>
      <w:pPr>
        <w:pStyle w:val="Heading1"/>
      </w:pPr>
      <w:r>
        <w:t>9. Historical Conditioning, Persistence, and Path Dependence</w:t>
      </w:r>
    </w:p>
    <w:p>
      <w:r>
        <w:t>Π may be historically and path-dependently conditioned without consuming raw M_I(t). Relevant effects may include recurrence of recently executed policies, recognition of previously successful or failed policy classes, habitual availability, commitment/history cues, or path dependence affecting which alternatives are imagined as live. These effects must arrive through licensed perception/retrieval, graph/reachability, expectation-derived, or execution-persistence interfaces. This explains inertia, repetition, and policy lock-in without turning Π into a memory, learning, or expectation operator.</w:t>
      </w:r>
    </w:p>
    <w:p>
      <w:pPr>
        <w:pStyle w:val="Heading1"/>
      </w:pPr>
      <w:r>
        <w:t>10. Boundedness</w:t>
      </w:r>
    </w:p>
    <w:p>
      <w:r>
        <w:t>Π remains finite and bounded by attention, information, time, and cognitive limits. The candidate set is typically small relative to the abstract possibility space. Boundedness does not excuse omission of materially relevant feasible policy classes once the current completeness rule is applied downstream.</w:t>
      </w:r>
    </w:p>
    <w:p>
      <w:pPr>
        <w:pStyle w:val="Heading1"/>
      </w:pPr>
      <w:r>
        <w:t>10A. Bounded Construction and Termination Invariant</w:t>
      </w:r>
    </w:p>
    <w:p>
      <w:r>
        <w:t>Π must terminate candidate construction in finite time. Implementations shall bound candidate count and, wherever recursive decomposition, clarification or information-seeking, plan expansion, or variant generation is supported, shall also impose finite implementation-defined depth, iteration, or variation bounds. Exhaustion of a construction or clarification bound must produce a bounded candidate handoff, an explicit defer or information-request candidate where separately licensed, or an explicit incompleteness/failure condition. It must not create an unbounded deliberation loop. These bounds govern construction only and do not transfer feasibility, adequacy, projection, or selection authority into Π.</w:t>
      </w:r>
    </w:p>
    <w:p>
      <w:pPr>
        <w:pStyle w:val="Heading1"/>
      </w:pPr>
      <w:r>
        <w:t>11. Attention Constraint</w:t>
      </w:r>
    </w:p>
    <w:p>
      <w:r>
        <w:t>Only information represented in the authorized inputs available to Π can influence policy generation directly. Under R2 this includes relevant PPP_I(t), SPVhat_I(t), PVS_I(t), and perceived context. Under R4/R22, historical material must first pass through a licensed retrieval/interpretation or derived interface; stored M_I(t) is not globally visible to Π. Information absent from perceived or otherwise authorized derived inputs cannot generate policy content at this stage. Missing policies may therefore reflect perception, retrieval, attention, expectation, graph, or boundedness limits rather than downstream failure.</w:t>
      </w:r>
    </w:p>
    <w:p>
      <w:pPr>
        <w:pStyle w:val="Heading1"/>
      </w:pPr>
      <w:r>
        <w:t>12. Generative Coherence Screening</w:t>
      </w:r>
    </w:p>
    <w:p>
      <w:r>
        <w:t>Π may apply only a narrow pre-screen for generative coherence before handing the candidate set downstream. This pre-screen may remove entries that are internally contradictory, malformed, self-nullifying as action descriptions, or duplicative at the level of action specification. Π does not own hard-feasibility enforcement. Hard and conditional feasibility filtering belong to the Constraint System after Π completeness validation. Π therefore must not be treated as applying the same hard-constraint test later performed by Constraints.</w:t>
      </w:r>
    </w:p>
    <w:p>
      <w:pPr>
        <w:pStyle w:val="Heading1"/>
      </w:pPr>
      <w:r>
        <w:t>13. Internal Redundancy Pruning</w:t>
      </w:r>
    </w:p>
    <w:p>
      <w:r>
        <w:t>Π may remove strict duplicates and near-duplicates that do not represent materially distinct policy structure. It may also collapse purely cosmetic variants within the same family where no difference in action structure, reachable mechanism, or governing-domain relevance exists. Π must not run horizon-based dominance comparisons, adequacy-style comparisons, or projection-ranking logic. Tradeoff policies and materially distinct variants must be preserved for downstream treatment.</w:t>
      </w:r>
    </w:p>
    <w:p>
      <w:pPr>
        <w:pStyle w:val="Heading1"/>
      </w:pPr>
      <w:r>
        <w:t>14. Relationship to Π Completeness Validation</w:t>
      </w:r>
    </w:p>
    <w:p>
      <w:r>
        <w:t>Π generates the candidate set; Π completeness validation determines whether materially relevant feasible policy classes are missing. Π completeness validation is therefore an upstream gate on candidate-set sufficiency, not a subroutine owned by Π itself. Correct generation cannot rescue omitted classes after the fact, and completeness validation cannot be replaced by downstream intuition.</w:t>
      </w:r>
    </w:p>
    <w:p>
      <w:pPr>
        <w:pStyle w:val="Heading1"/>
      </w:pPr>
      <w:r>
        <w:t>15. Relationship to Constraints</w:t>
      </w:r>
    </w:p>
    <w:p>
      <w:r>
        <w:t>Constraints is the authoritative feasibility operator. Π may generate policies that are later removed by hard or active conditional constraints. This is not duplication; it is the architecture’s intended separation between candidate generation and feasibility filtering. Π should not attempt to pre-apply the downstream feasibility boundary.</w:t>
      </w:r>
    </w:p>
    <w:p>
      <w:pPr>
        <w:pStyle w:val="Heading1"/>
      </w:pPr>
      <w:r>
        <w:t>16. Relationship to Adequacy and Σ</w:t>
      </w:r>
    </w:p>
    <w:p>
      <w:r>
        <w:t>Π does not ensure adequacy and does not select. It may generate adequate, inadequate, and collapse-inducing policies alike. Adequacy and Σ operate only after Π completeness validation and Constraints have done their work.</w:t>
      </w:r>
    </w:p>
    <w:p>
      <w:pPr>
        <w:pStyle w:val="Heading1"/>
      </w:pPr>
      <w:r>
        <w:t>17. Structural Properties</w:t>
      </w:r>
    </w:p>
    <w:p>
      <w:r>
        <w:t>Π is non-optimizing, generative, path-dependent, regime-sensitive, persistence-respecting, and bounded. It defines what is considered, not what survives as adequate or what is finally chosen.</w:t>
      </w:r>
    </w:p>
    <w:p>
      <w:pPr>
        <w:pStyle w:val="Heading1"/>
      </w:pPr>
      <w:r>
        <w:t>18. Behavioral Consequences</w:t>
      </w:r>
    </w:p>
    <w:p>
      <w:r>
        <w:t>The operator explains inertia, habit formation, escalation of candidate breadth under pressure, limited imagination, repetition of harmful behavior, and policy absence failure modes caused by attention or boundedness.</w:t>
      </w:r>
    </w:p>
    <w:p>
      <w:pPr>
        <w:pStyle w:val="Heading1"/>
      </w:pPr>
      <w:r>
        <w:t>18A. R1 / R2 / R4 Interface Reconciliation Boundary</w:t>
      </w:r>
    </w:p>
    <w:p>
      <w:r>
        <w:t>The v0.3 revision reconciled Π with the broader perceived-state interface, and v0.4 completed the R2 holdings/viability read contract. This v0.7 revision preserves the R4/R22 path-dependence boundary by removing raw M_I(t) from Π's direct inputs and requiring historical influence to arrive through licensed retrieval/interpreted, graph/reachability, expectation-derived, or execution-persistence interfaces. Candidate families, regime shaping, boundedness, generative coherence screening, completeness, Constraints, Adequacy, and selection boundaries remain unchanged.</w:t>
      </w:r>
    </w:p>
    <w:p>
      <w:pPr>
        <w:pStyle w:val="Heading1"/>
      </w:pPr>
      <w:r>
        <w:t>19. Summary</w:t>
      </w:r>
    </w:p>
    <w:p>
      <w:r>
        <w:t>Π generates a bounded, regime-shaped candidate policy space from its authorized inputs. Relevant perceived-state evidence may include PPP_I(t), SPVhat_I(t), PVS_I(t), and perceived context. Historically conditioned generation is permitted only through licensed derived routes; raw retained memory is not a free-form candidate generator. Π may generate policies that conserve, consume, transfer, exchange, liquidate, deploy, or invest perceived holdings, but it does not certify actual existence/feasibility, reinterpret memory, or perform learning. Feasibility, adequacy, and selection remain downstream.</w:t>
      </w:r>
    </w:p>
    <w:p>
      <w:pPr>
        <w:pStyle w:val="Heading1"/>
      </w:pPr>
      <w:r>
        <w:t>18B. Active-Policy / Execution-Persistence Boundary</w:t>
      </w:r>
    </w:p>
    <w:p>
      <w:pPr/>
      <w:r>
        <w:t>Current commitments, active policies, encumbrances, deadlines, and other execution-persistence facts may shape candidate construction only through their separately owned execution-persistence interfaces. They are not memory merely because they arose in the past. Π may generate continuation, suspension, repair, cancellation, or replacement candidates in response to those facts, but it does not own execution-state persistence or execution realization.</w:t>
      </w:r>
    </w:p>
    <w:p>
      <w:pPr>
        <w:pStyle w:val="Heading1"/>
      </w:pPr>
      <w:r>
        <w:t>18C. Version 2 Authority Propagation Boundary</w:t>
      </w:r>
    </w:p>
    <w:p>
      <w:pPr/>
      <w:r>
        <w:t>This v0.7 revision preserves the v0.6 Canonical State Object v0.5 and active-policy / execution-persistence reconciliation and adds the bounded-construction and termination invariant required for finite policy construction. Candidate families, completeness, Constraints, Adequacy, and selection boundaries remain unchanged.</w:t>
      </w:r>
    </w:p>
    <w:p>
      <w:pPr>
        <w:pStyle w:val="Heading2"/>
      </w:pPr>
      <w:r>
        <w:t>18D. Version 2.1 Purpose / Objective Input Boundary</w:t>
      </w:r>
    </w:p>
    <w:p>
      <w:r>
        <w:t>O_I(t), where present and applicable, is an adjacent typed input owned by the Actor Purpose and Objective Interface. It is not a new operator and does not alter the canonical operator sequence. Pi may use qualified objective relevance to direct bounded candidate discovery and to preserve materially distinct objective-responsive candidates that are already generatively available through authorized inputs and current reachable structure.</w:t>
      </w:r>
    </w:p>
    <w:p>
      <w:r>
        <w:t>Objective responsiveness is not a pruning, feasibility, adequacy, authority, ranking, or selection rule. Resp(pi,o) may be represented for downstream/application use where separately licensed, but Pi must not convert it into a scalar objective function, preference weight, dominance test, or reason to suppress structurally required alternatives.</w:t>
      </w:r>
    </w:p>
    <w:p>
      <w:r>
        <w:t>An objective cannot make an unreachable future capability currently available. Pi may construct a capability-development policy only from currently reachable means. If execution later changes PP or another owning state object, the resulting capability may affect candidate construction only in a later decision cycle after the realized state update.</w:t>
      </w:r>
    </w:p>
    <w:p>
      <w:r>
        <w:t>Objective relevance to information does not confer authority or permitted use. Retrieval-derived or other informational influence remains subject to Memory Interface v0.4, Perception v0.9, and the applicable owner-approved routing and governance metadata.</w:t>
      </w:r>
    </w:p>
    <w:p>
      <w:r>
        <w:t>This v0.8 reconciliation leaves candidate families, boundedness, termination, Graph discipline, Pi completeness, Constraints, Adequacy, Sigma, and execution boundaries unchanged.</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