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PV-PP Decision Framework</w:t>
      </w:r>
    </w:p>
    <w:p>
      <w:pPr>
        <w:jc w:val="center"/>
      </w:pPr>
      <w:r>
        <w:rPr>
          <w:i/>
          <w:sz w:val="21"/>
        </w:rPr>
        <w:t>Canonical Operator Ownership Map — Version v0.9 (Version 2.1)</w:t>
      </w:r>
    </w:p>
    <w:p>
      <w:pPr>
        <w:pStyle w:val="Heading1"/>
      </w:pPr>
      <w:r>
        <w:t>Purpose</w:t>
      </w:r>
    </w:p>
    <w:p>
      <w:r>
        <w:t>This document states which current file owns each active operator or first-class support component in the Layer 2 architecture. It exists to stop architectural drift. The owning file is the only file permitted to define the operator’s internal logic. Other documents may reference the operator, but they must not silently rewrite it.</w:t>
      </w:r>
    </w:p>
    <w:p>
      <w:pPr>
        <w:pStyle w:val="Heading1"/>
      </w:pPr>
      <w:r>
        <w:t>Current Ownership Map</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r>
              <w:rPr>
                <w:b/>
              </w:rPr>
              <w:t>Component</w:t>
            </w:r>
          </w:p>
        </w:tc>
        <w:tc>
          <w:tcPr>
            <w:tcW w:type="dxa" w:w="2592"/>
            <w:vAlign w:val="center"/>
            <w:shd w:fill="D9EAF7"/>
          </w:tcPr>
          <w:p>
            <w:r>
              <w:rPr>
                <w:b/>
              </w:rPr>
              <w:t>Role</w:t>
            </w:r>
          </w:p>
        </w:tc>
        <w:tc>
          <w:tcPr>
            <w:tcW w:type="dxa" w:w="5616"/>
            <w:vAlign w:val="center"/>
            <w:shd w:fill="D9EAF7"/>
          </w:tcPr>
          <w:p>
            <w:r>
              <w:rPr>
                <w:b/>
              </w:rPr>
              <w:t>Current owning file</w:t>
            </w:r>
          </w:p>
        </w:tc>
      </w:tr>
      <w:tr>
        <w:tc>
          <w:tcPr>
            <w:tcW w:type="dxa" w:w="2160"/>
            <w:vAlign w:val="center"/>
          </w:tcPr>
          <w:p>
            <w:r>
              <w:t>Perception / PPP update</w:t>
            </w:r>
          </w:p>
        </w:tc>
        <w:tc>
          <w:tcPr>
            <w:tcW w:type="dxa" w:w="2592"/>
            <w:vAlign w:val="center"/>
          </w:tcPr>
          <w:p>
            <w:r>
              <w:t>Update structured perceived decision state P_I(t); PPP is the perceived productive-capability component</w:t>
            </w:r>
          </w:p>
        </w:tc>
        <w:tc>
          <w:tcPr>
            <w:tcW w:type="dxa" w:w="5616"/>
            <w:vAlign w:val="center"/>
          </w:tcPr>
          <w:p>
            <w:r>
              <w:t>PV-PP Perception and Signal Interpretation Architecture Canonical Specification - v0.9</w:t>
            </w:r>
          </w:p>
        </w:tc>
      </w:tr>
      <w:tr>
        <w:tc>
          <w:tcPr>
            <w:tcW w:type="dxa" w:w="3264"/>
          </w:tcPr>
          <w:p>
            <w:r>
              <w:t>Purpose / Objectives O_I(t)</w:t>
            </w:r>
          </w:p>
        </w:tc>
        <w:tc>
          <w:tcPr>
            <w:tcW w:type="dxa" w:w="3264"/>
          </w:tcPr>
          <w:p>
            <w:r>
              <w:t>Qualified objective identity, lifecycle, provenance, relations, and Objective Responsiveness semantics</w:t>
            </w:r>
          </w:p>
        </w:tc>
        <w:tc>
          <w:tcPr>
            <w:tcW w:type="dxa" w:w="3264"/>
          </w:tcPr>
          <w:p>
            <w:r>
              <w:t>PV-PP Actor Purpose and Objective Interface - Active Supporting Specification v0.1 (Version 2.1)</w:t>
            </w:r>
          </w:p>
        </w:tc>
      </w:tr>
      <w:tr>
        <w:tc>
          <w:tcPr>
            <w:tcW w:type="dxa" w:w="2160"/>
            <w:vAlign w:val="center"/>
          </w:tcPr>
          <w:p>
            <w:r>
              <w:t>Φ</w:t>
            </w:r>
          </w:p>
        </w:tc>
        <w:tc>
          <w:tcPr>
            <w:tcW w:type="dxa" w:w="2592"/>
            <w:vAlign w:val="center"/>
          </w:tcPr>
          <w:p>
            <w:r>
              <w:t>Pressure field representation</w:t>
            </w:r>
          </w:p>
        </w:tc>
        <w:tc>
          <w:tcPr>
            <w:tcW w:type="dxa" w:w="5616"/>
            <w:vAlign w:val="center"/>
          </w:tcPr>
          <w:p>
            <w:r>
              <w:t>PV-PP Decision Framework - Pressure Field Operator Phi - Canonical Specification (V2) - v0.7</w:t>
            </w:r>
          </w:p>
        </w:tc>
      </w:tr>
      <w:tr>
        <w:tc>
          <w:tcPr>
            <w:tcW w:type="dxa" w:w="2160"/>
            <w:vAlign w:val="center"/>
          </w:tcPr>
          <w:p>
            <w:r>
              <w:t>H</w:t>
            </w:r>
          </w:p>
        </w:tc>
        <w:tc>
          <w:tcPr>
            <w:tcW w:type="dxa" w:w="2592"/>
            <w:vAlign w:val="center"/>
          </w:tcPr>
          <w:p>
            <w:r>
              <w:t>Baseline collapse-horizon estimation</w:t>
            </w:r>
          </w:p>
        </w:tc>
        <w:tc>
          <w:tcPr>
            <w:tcW w:type="dxa" w:w="5616"/>
            <w:vAlign w:val="center"/>
          </w:tcPr>
          <w:p>
            <w:r>
              <w:t>PV-PP Decision Framework - Collapse Horizon Operator H Canonical Specification - v1.7</w:t>
            </w:r>
          </w:p>
        </w:tc>
      </w:tr>
      <w:tr>
        <w:tc>
          <w:tcPr>
            <w:tcW w:type="dxa" w:w="2160"/>
            <w:vAlign w:val="center"/>
          </w:tcPr>
          <w:p>
            <w:r>
              <w:t>G</w:t>
            </w:r>
          </w:p>
        </w:tc>
        <w:tc>
          <w:tcPr>
            <w:tcW w:type="dxa" w:w="2592"/>
            <w:vAlign w:val="center"/>
          </w:tcPr>
          <w:p>
            <w:r>
              <w:t>Dependency-closed governing-domain construction</w:t>
            </w:r>
          </w:p>
        </w:tc>
        <w:tc>
          <w:tcPr>
            <w:tcW w:type="dxa" w:w="5616"/>
            <w:vAlign w:val="center"/>
          </w:tcPr>
          <w:p>
            <w:r>
              <w:t>PV-PP Decision Framework - Governing Domain Identification Operator G - Canonical Specification (V2) - v0.6</w:t>
            </w:r>
          </w:p>
        </w:tc>
      </w:tr>
      <w:tr>
        <w:tc>
          <w:tcPr>
            <w:tcW w:type="dxa" w:w="2160"/>
            <w:vAlign w:val="center"/>
          </w:tcPr>
          <w:p>
            <w:r>
              <w:t>ℛ</w:t>
            </w:r>
          </w:p>
        </w:tc>
        <w:tc>
          <w:tcPr>
            <w:tcW w:type="dxa" w:w="2592"/>
            <w:vAlign w:val="center"/>
          </w:tcPr>
          <w:p>
            <w:r>
              <w:t>Regime classification</w:t>
            </w:r>
          </w:p>
        </w:tc>
        <w:tc>
          <w:tcPr>
            <w:tcW w:type="dxa" w:w="5616"/>
            <w:vAlign w:val="center"/>
          </w:tcPr>
          <w:p>
            <w:r>
              <w:t>PV-PP Decision Framework - Regime Classification Operator R - Canonical Specification (V2) - v0.5</w:t>
            </w:r>
          </w:p>
        </w:tc>
      </w:tr>
      <w:tr>
        <w:tc>
          <w:tcPr>
            <w:tcW w:type="dxa" w:w="2160"/>
            <w:vAlign w:val="center"/>
          </w:tcPr>
          <w:p>
            <w:r>
              <w:t>Graph Layer / seed substrate</w:t>
            </w:r>
          </w:p>
        </w:tc>
        <w:tc>
          <w:tcPr>
            <w:tcW w:type="dxa" w:w="2592"/>
            <w:vAlign w:val="center"/>
          </w:tcPr>
          <w:p>
            <w:r>
              <w:t>Reachable policy substrate</w:t>
            </w:r>
          </w:p>
        </w:tc>
        <w:tc>
          <w:tcPr>
            <w:tcW w:type="dxa" w:w="5616"/>
            <w:vAlign w:val="center"/>
          </w:tcPr>
          <w:p>
            <w:r>
              <w:t>PV-PP Decision Framework - Instance-Transformation Graph Layer - Supporting Specification (V2) - v0.4</w:t>
            </w:r>
          </w:p>
        </w:tc>
      </w:tr>
      <w:tr>
        <w:tc>
          <w:tcPr>
            <w:tcW w:type="dxa" w:w="2160"/>
            <w:vAlign w:val="center"/>
          </w:tcPr>
          <w:p>
            <w:r>
              <w:t>Π</w:t>
            </w:r>
          </w:p>
        </w:tc>
        <w:tc>
          <w:tcPr>
            <w:tcW w:type="dxa" w:w="2592"/>
            <w:vAlign w:val="center"/>
          </w:tcPr>
          <w:p>
            <w:r>
              <w:t>Bounded candidate construction</w:t>
            </w:r>
          </w:p>
        </w:tc>
        <w:tc>
          <w:tcPr>
            <w:tcW w:type="dxa" w:w="5616"/>
            <w:vAlign w:val="center"/>
          </w:tcPr>
          <w:p>
            <w:r>
              <w:t>PV-PP Decision Framework - Policy Construction Operator Pi - Canonical Specification (V2) - v0.8</w:t>
            </w:r>
          </w:p>
        </w:tc>
      </w:tr>
      <w:tr>
        <w:tc>
          <w:tcPr>
            <w:tcW w:type="dxa" w:w="2160"/>
            <w:vAlign w:val="center"/>
          </w:tcPr>
          <w:p>
            <w:r>
              <w:t>Π completeness validation</w:t>
            </w:r>
          </w:p>
        </w:tc>
        <w:tc>
          <w:tcPr>
            <w:tcW w:type="dxa" w:w="2592"/>
            <w:vAlign w:val="center"/>
          </w:tcPr>
          <w:p>
            <w:r>
              <w:t>Hard sufficiency gate</w:t>
            </w:r>
          </w:p>
        </w:tc>
        <w:tc>
          <w:tcPr>
            <w:tcW w:type="dxa" w:w="5616"/>
            <w:vAlign w:val="center"/>
          </w:tcPr>
          <w:p>
            <w:r>
              <w:t>PV-PP Decision Framework - Pi Completeness Validation Rule - Supporting Specification (V2) - v0.4</w:t>
            </w:r>
          </w:p>
        </w:tc>
      </w:tr>
      <w:tr>
        <w:tc>
          <w:tcPr>
            <w:tcW w:type="dxa" w:w="2160"/>
            <w:vAlign w:val="center"/>
          </w:tcPr>
          <w:p>
            <w:r>
              <w:t>Constraints</w:t>
            </w:r>
          </w:p>
        </w:tc>
        <w:tc>
          <w:tcPr>
            <w:tcW w:type="dxa" w:w="2592"/>
            <w:vAlign w:val="center"/>
          </w:tcPr>
          <w:p>
            <w:r>
              <w:t>Feasibility filtering</w:t>
            </w:r>
          </w:p>
        </w:tc>
        <w:tc>
          <w:tcPr>
            <w:tcW w:type="dxa" w:w="5616"/>
            <w:vAlign w:val="center"/>
          </w:tcPr>
          <w:p>
            <w:r>
              <w:t>PV-PP Decision Framework - Constraint System - Canonical Specification (V2) - v0.7</w:t>
            </w:r>
          </w:p>
        </w:tc>
      </w:tr>
      <w:tr>
        <w:tc>
          <w:tcPr>
            <w:tcW w:type="dxa" w:w="2160"/>
            <w:vAlign w:val="center"/>
          </w:tcPr>
          <w:p>
            <w:r>
              <w:t>Domain Framing</w:t>
            </w:r>
          </w:p>
        </w:tc>
        <w:tc>
          <w:tcPr>
            <w:tcW w:type="dxa" w:w="2592"/>
            <w:vAlign w:val="center"/>
          </w:tcPr>
          <w:p>
            <w:r>
              <w:t>Preservation-target declaration</w:t>
            </w:r>
          </w:p>
        </w:tc>
        <w:tc>
          <w:tcPr>
            <w:tcW w:type="dxa" w:w="5616"/>
            <w:vAlign w:val="center"/>
          </w:tcPr>
          <w:p>
            <w:r>
              <w:t>PV-PP Decision Framework - Viability Domain Framing Rule - Supporting Specification (V2) - v0.5</w:t>
            </w:r>
          </w:p>
        </w:tc>
      </w:tr>
      <w:tr>
        <w:tc>
          <w:tcPr>
            <w:tcW w:type="dxa" w:w="2160"/>
            <w:vAlign w:val="center"/>
          </w:tcPr>
          <w:p>
            <w:r>
              <w:t>Adequacy</w:t>
            </w:r>
          </w:p>
        </w:tc>
        <w:tc>
          <w:tcPr>
            <w:tcW w:type="dxa" w:w="2592"/>
            <w:vAlign w:val="center"/>
          </w:tcPr>
          <w:p>
            <w:r>
              <w:t>Recovery-corridor sufficiency</w:t>
            </w:r>
          </w:p>
        </w:tc>
        <w:tc>
          <w:tcPr>
            <w:tcW w:type="dxa" w:w="5616"/>
            <w:vAlign w:val="center"/>
          </w:tcPr>
          <w:p>
            <w:r>
              <w:t>PV-PP Decision Framework - Restoration Adequacy Operator - Canonical Specification (V2) - v0.9</w:t>
            </w:r>
          </w:p>
        </w:tc>
      </w:tr>
      <w:tr>
        <w:tc>
          <w:tcPr>
            <w:tcW w:type="dxa" w:w="2160"/>
            <w:vAlign w:val="center"/>
          </w:tcPr>
          <w:p>
            <w:r>
              <w:t>Σ</w:t>
            </w:r>
          </w:p>
        </w:tc>
        <w:tc>
          <w:tcPr>
            <w:tcW w:type="dxa" w:w="2592"/>
            <w:vAlign w:val="center"/>
          </w:tcPr>
          <w:p>
            <w:r>
              <w:t>Selection only after upstream validity</w:t>
            </w:r>
          </w:p>
        </w:tc>
        <w:tc>
          <w:tcPr>
            <w:tcW w:type="dxa" w:w="5616"/>
            <w:vAlign w:val="center"/>
          </w:tcPr>
          <w:p>
            <w:r>
              <w:t>PV-PP Decision Framework - Formal Definition of the Sigma Selection Operator Canonical Mathematical Specification - v1.14</w:t>
            </w:r>
          </w:p>
        </w:tc>
      </w:tr>
      <w:tr>
        <w:tc>
          <w:tcPr>
            <w:tcW w:type="dxa" w:w="2160"/>
            <w:vAlign w:val="center"/>
          </w:tcPr>
          <w:p>
            <w:r>
              <w:t>ε</w:t>
            </w:r>
          </w:p>
        </w:tc>
        <w:tc>
          <w:tcPr>
            <w:tcW w:type="dxa" w:w="2592"/>
            <w:vAlign w:val="center"/>
          </w:tcPr>
          <w:p>
            <w:r>
              <w:t>Bounded execution-side realization</w:t>
            </w:r>
          </w:p>
        </w:tc>
        <w:tc>
          <w:tcPr>
            <w:tcW w:type="dxa" w:w="5616"/>
            <w:vAlign w:val="center"/>
          </w:tcPr>
          <w:p>
            <w:r>
              <w:t>PV-PP Decision Framework - Realization Operator epsilon - Canonical Specification - v1.7</w:t>
            </w:r>
          </w:p>
        </w:tc>
      </w:tr>
      <w:tr>
        <w:tc>
          <w:tcPr>
            <w:tcW w:type="dxa" w:w="2160"/>
            <w:vAlign w:val="center"/>
          </w:tcPr>
          <w:p>
            <w:r>
              <w:t>Domain Devaluation / Acute Local Dominance</w:t>
            </w:r>
          </w:p>
        </w:tc>
        <w:tc>
          <w:tcPr>
            <w:tcW w:type="dxa" w:w="2592"/>
            <w:vAlign w:val="center"/>
          </w:tcPr>
          <w:p>
            <w:r>
              <w:t>Governance-binding clarification</w:t>
            </w:r>
          </w:p>
        </w:tc>
        <w:tc>
          <w:tcPr>
            <w:tcW w:type="dxa" w:w="5616"/>
            <w:vAlign w:val="center"/>
          </w:tcPr>
          <w:p>
            <w:r>
              <w:t>PV-PP Decision Framework - Domain Devaluation and Acute Local Dominance - Supporting Specification (V1) - v0.3</w:t>
            </w:r>
          </w:p>
        </w:tc>
      </w:tr>
    </w:tbl>
    <w:p/>
    <w:p>
      <w:r>
        <w:t>v0.9 reconciliation note: This revision propagates the Version 2 owner-file releases completed in Categories 10 and 15 while preserving one-operator/one-owner discipline.  This revision updates the ownership surface to the current Category 10 and Category 15 Version 2 release set. It also records the R1 perceived-state boundary: P_I(t) is the structured perceived decision-state interface and PPP_I(t) is its perceived productive-capability component. System State Dynamics is owned in Category 10 and is not a duplicate Category 15 owner.</w:t>
      </w:r>
      <w:r>
        <w:t xml:space="preserve"> Version 2.1 also registers O_I(t) as a first-class supporting interface owned in Category 10. O_I(t) is not an operator and does not alter the canonical Layer 2 sequence.</w:t>
      </w:r>
    </w:p>
    <w:p>
      <w:pPr>
        <w:pStyle w:val="Heading1"/>
      </w:pPr>
      <w:r>
        <w:t>Change-Control Rule</w:t>
      </w:r>
    </w:p>
    <w:p>
      <w:pPr>
        <w:pStyle w:val="ListBullet"/>
      </w:pPr>
      <w:r>
        <w:t>If an operator changes, revise the owning file first.</w:t>
      </w:r>
    </w:p>
    <w:p>
      <w:pPr>
        <w:pStyle w:val="ListBullet"/>
      </w:pPr>
      <w:r>
        <w:t>Only after the owning file is revised should stack sheets, reader guides, diagrams, overview documents, and compendia be aligned.</w:t>
      </w:r>
    </w:p>
    <w:p>
      <w:pPr/>
      <w:r>
        <w:t>• New first-class support interfaces must be registered to their owning file before downstream stack maps or implementation summaries define their semantics.</w:t>
      </w:r>
    </w:p>
    <w:p>
      <w:pPr>
        <w:pStyle w:val="Heading1"/>
      </w:pPr>
      <w:r>
        <w:t>Current Caution</w:t>
      </w:r>
    </w:p>
    <w:p>
      <w:r>
        <w:t>Older stack and architecture reference files in the broader file set may still reflect compressed or superseded ownership assumptions. They remain historically useful, but they are not safe sources for current-stack edits unless first reconciled to the active core architecture and the current ownership map.</w:t>
      </w:r>
    </w:p>
    <w:p>
      <w:pPr>
        <w:pStyle w:val="Heading1"/>
      </w:pPr>
      <w:r>
        <w:t>Summary</w:t>
      </w:r>
    </w:p>
    <w:p>
      <w:r>
        <w:t>The purpose of this map is simple: one operator, one owner. That discipline is what prevents current architecture from drifting back into mixed or conflicting summaries.</w:t>
      </w:r>
    </w:p>
    <w:p>
      <w:r>
        <w:rPr>
          <w:b/>
        </w:rPr>
        <w:t xml:space="preserve">Revision note — v0.9: </w:t>
      </w:r>
      <w:r>
        <w:t>Currency reconciliation after the Version 2.1 owner-file patch sequence. Updates the Perception, Graph, Pi, Pi Completeness, and Constraints owner versions to their current V2.1 files. Ownership semantics and operator boundaries are unchanged.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