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PV-PP Decision Framework</w:t>
      </w:r>
    </w:p>
    <w:p>
      <w:pPr>
        <w:jc w:val="center"/>
      </w:pPr>
      <w:r>
        <w:rPr>
          <w:rFonts w:ascii="Aptos" w:hAnsi="Aptos"/>
          <w:b/>
          <w:sz w:val="36"/>
        </w:rPr>
        <w:t>Canonical Operator Stack Reference</w:t>
      </w:r>
    </w:p>
    <w:p>
      <w:pPr>
        <w:jc w:val="center"/>
      </w:pPr>
      <w:r>
        <w:rPr>
          <w:rFonts w:ascii="Aptos" w:hAnsi="Aptos"/>
          <w:b/>
          <w:sz w:val="24"/>
        </w:rPr>
        <w:t>Version v0.8 Merged (Version 2.1)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4968"/>
          </w:tcPr>
          <w:p>
            <w:r>
              <w:t>v0.8 Merged (Version 2.1)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4968"/>
          </w:tcPr>
          <w:p>
            <w:r>
              <w:t>Version 2.1 merged reference-sheet update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20 Stack and Layer Governance / Canonical Stack Maps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Update purpose</w:t>
            </w:r>
          </w:p>
        </w:tc>
        <w:tc>
          <w:tcPr>
            <w:tcW w:type="dxa" w:w="4968"/>
          </w:tcPr>
          <w:p>
            <w:r>
              <w:t>Preserves the canonical stack reference, retains the R24 typed-relational-memory placement boundary, and adds the Version 2.1 Purpose/Objectives adjacent typed interface without altering the canonical operator sequence.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Source continuity</w:t>
            </w:r>
          </w:p>
        </w:tc>
        <w:tc>
          <w:tcPr>
            <w:tcW w:type="dxa" w:w="4968"/>
          </w:tcPr>
          <w:p>
            <w:r>
              <w:t>Supersedes v0.7 Merged for current Version 2.1 use; retains R24 reconciliation and adds Purpose/Objectives propagation without altering operator internals.</w:t>
            </w:r>
          </w:p>
        </w:tc>
      </w:tr>
    </w:tbl>
    <w:p>
      <w:pPr>
        <w:pStyle w:val="Heading1"/>
      </w:pPr>
      <w:r>
        <w:t>Purpose</w:t>
      </w:r>
    </w:p>
    <w:p>
      <w:r>
        <w:t>This document provides a concise current-stack reference consistent with the active PV-PP core architecture. Version v0.8 preserves the canonical sequence and incorporates the R24 placement rule for typed relational memory and cooperation propensity. Cooperation propensity is not a new operator or selector; it is counterpart-indexed relational decision state/modification whose effects must be routed through existing operator interfaces.</w:t>
      </w:r>
    </w:p>
    <w:p>
      <w:pPr>
        <w:pStyle w:val="Heading1"/>
      </w:pPr>
      <w:r>
        <w:t>Current Canonical Stack</w:t>
      </w:r>
    </w:p>
    <w:p>
      <w:r>
        <w:t>[P_I(t)] [O_I(t)] -&gt; canonical Layer 2 sequence: P_I(t) -&gt; Φ -&gt; H -&gt; G -&gt; ℛ -&gt; Graph Layer / seed substrate -&gt; Π -&gt; Π completeness validation -&gt; Constraints -&gt; Domain Framing -&gt; Adequacy -&gt; Σ -&gt; ε</w:t>
      </w:r>
    </w:p>
    <w:p>
      <w:pPr/>
      <w:r>
        <w:t>O_I(t) is an adjacent typed purpose/objective input. It is not inserted into the operator chain and does not replace or modify P_I(t).</w:t>
      </w:r>
    </w:p>
    <w:p>
      <w:pPr>
        <w:pStyle w:val="Heading1"/>
      </w:pPr>
      <w:r>
        <w:t>One-Line Role Summary</w:t>
      </w:r>
    </w:p>
    <w:p>
      <w:pPr>
        <w:pStyle w:val="ListBullet"/>
      </w:pPr>
      <w:r>
        <w:rPr>
          <w:b/>
        </w:rPr>
        <w:t>P_I(t) — structured perceived decision-state interface available after perception completes; PPP_I(t) is its perceived productive-capability component, not the complete perceived state.</w:t>
      </w:r>
      <w:r/>
    </w:p>
    <w:p>
      <w:pPr/>
      <w:r>
        <w:t>• O_I(t) — currently applicable qualified objectives, with source, scope, lifecycle, temporal bounds, relations, and authority/provenance. Objective relevance may direct bounded discovery and application interpretation but is not authorization, adequacy, ranking, or selection.</w:t>
      </w:r>
    </w:p>
    <w:p>
      <w:pPr>
        <w:pStyle w:val="ListBullet"/>
      </w:pPr>
      <w:r>
        <w:rPr>
          <w:b/>
        </w:rPr>
        <w:t xml:space="preserve">Φ — </w:t>
      </w:r>
      <w:r>
        <w:t>domain-structured pressure representation.</w:t>
      </w:r>
    </w:p>
    <w:p>
      <w:pPr>
        <w:pStyle w:val="ListBullet"/>
      </w:pPr>
      <w:r>
        <w:rPr>
          <w:b/>
        </w:rPr>
        <w:t xml:space="preserve">H — </w:t>
      </w:r>
      <w:r>
        <w:t>baseline collapse-horizon estimation.</w:t>
      </w:r>
    </w:p>
    <w:p>
      <w:pPr>
        <w:pStyle w:val="ListBullet"/>
      </w:pPr>
      <w:r>
        <w:rPr>
          <w:b/>
        </w:rPr>
        <w:t xml:space="preserve">G — </w:t>
      </w:r>
      <w:r>
        <w:t>dependency-closed governing-domain construction.</w:t>
      </w:r>
    </w:p>
    <w:p>
      <w:pPr>
        <w:pStyle w:val="ListBullet"/>
      </w:pPr>
      <w:r>
        <w:rPr>
          <w:b/>
        </w:rPr>
        <w:t xml:space="preserve">ℛ — </w:t>
      </w:r>
      <w:r>
        <w:t>regime classification from horizons, pressure, and governing structure.</w:t>
      </w:r>
    </w:p>
    <w:p>
      <w:pPr>
        <w:pStyle w:val="ListBullet"/>
      </w:pPr>
      <w:r>
        <w:rPr>
          <w:b/>
        </w:rPr>
        <w:t xml:space="preserve">Graph Layer / seed substrate — </w:t>
      </w:r>
      <w:r>
        <w:t>reachable instance-transformation substrate for policy generation.</w:t>
      </w:r>
    </w:p>
    <w:p>
      <w:pPr>
        <w:pStyle w:val="ListBullet"/>
      </w:pPr>
      <w:r>
        <w:rPr>
          <w:b/>
        </w:rPr>
        <w:t xml:space="preserve">Π — </w:t>
      </w:r>
      <w:r>
        <w:t>bounded candidate construction from graph-derived seeds.</w:t>
      </w:r>
    </w:p>
    <w:p>
      <w:pPr>
        <w:pStyle w:val="ListBullet"/>
      </w:pPr>
      <w:r>
        <w:rPr>
          <w:b/>
        </w:rPr>
        <w:t xml:space="preserve">Π completeness validation — </w:t>
      </w:r>
      <w:r>
        <w:t>hard gate against materially incomplete candidate space.</w:t>
      </w:r>
    </w:p>
    <w:p>
      <w:pPr>
        <w:pStyle w:val="ListBullet"/>
      </w:pPr>
      <w:r>
        <w:rPr>
          <w:b/>
        </w:rPr>
        <w:t xml:space="preserve">Constraints — </w:t>
      </w:r>
      <w:r>
        <w:t>feasibility filtering only.</w:t>
      </w:r>
    </w:p>
    <w:p>
      <w:pPr>
        <w:pStyle w:val="ListBullet"/>
      </w:pPr>
      <w:r>
        <w:rPr>
          <w:b/>
        </w:rPr>
        <w:t xml:space="preserve">Domain Framing — </w:t>
      </w:r>
      <w:r>
        <w:t>explicit declaration of the preservation target being evaluated.</w:t>
      </w:r>
    </w:p>
    <w:p>
      <w:pPr>
        <w:pStyle w:val="ListBullet"/>
      </w:pPr>
      <w:r>
        <w:rPr>
          <w:b/>
        </w:rPr>
        <w:t xml:space="preserve">Adequacy — </w:t>
      </w:r>
      <w:r>
        <w:t>recovery-corridor sufficiency for the framed governing target.</w:t>
      </w:r>
    </w:p>
    <w:p>
      <w:pPr>
        <w:pStyle w:val="ListBullet"/>
      </w:pPr>
      <w:r>
        <w:rPr>
          <w:b/>
        </w:rPr>
        <w:t xml:space="preserve">Σ — </w:t>
      </w:r>
      <w:r>
        <w:t>non-scalar selection only after upstream validity conditions are satisfied.</w:t>
      </w:r>
    </w:p>
    <w:p>
      <w:pPr>
        <w:pStyle w:val="ListBullet"/>
      </w:pPr>
      <w:r>
        <w:rPr>
          <w:b/>
        </w:rPr>
        <w:t xml:space="preserve">ε — </w:t>
      </w:r>
      <w:r>
        <w:t>bounded execution-side realization and monitored completion control.</w:t>
      </w:r>
    </w:p>
    <w:p>
      <w:pPr>
        <w:pStyle w:val="Heading1"/>
      </w:pPr>
      <w:r>
        <w:t>Purpose/Objectives Interface Note</w:t>
      </w:r>
    </w:p>
    <w:p>
      <w:pPr/>
      <w:r>
        <w:t>The Version 2.1 purpose/objective interface is owned by PV-PP Actor Purpose and Objective Interface - Active Supporting Specification v0.1 (Version 2.1). It adds no operator and leaves the canonical Layer 2 sequence unchanged.</w:t>
      </w:r>
    </w:p>
    <w:p>
      <w:pPr/>
      <w:r>
        <w:t>O_I(t) may guide bounded opportunity discovery, retrieval cues, and application-owned Resp(π,o) evaluation. It cannot create Graph admission or reachability, confer information-use authority, satisfy Constraints or Adequacy, repair candidate completeness, provide a scalar preference, or act as a direct Σ selector.</w:t>
      </w:r>
    </w:p>
    <w:p>
      <w:pPr/>
      <w:r>
        <w:t>Capability-development objectives must respect current reachability: desired future PP cannot be treated as present capability. A reachable capability-development policy may change PP only after successful realization and state transition, affecting reachability in a later decision cycle.</w:t>
      </w:r>
    </w:p>
    <w:p>
      <w:pPr>
        <w:pStyle w:val="Heading1"/>
      </w:pPr>
      <w:r>
        <w:t>Governance-Binding Clarification</w:t>
      </w:r>
    </w:p>
    <w:p>
      <w:r>
        <w:t>The current architecture distinguishes represented pressure from structural governance and structural governance from effective local behavioral binding. A domain may remain structurally governing while being locally devalued under acute local dominance. That clarification belongs to Layer 2 governance and does not insert a new operator into the stack.</w:t>
      </w:r>
    </w:p>
    <w:p>
      <w:pPr>
        <w:pStyle w:val="Heading1"/>
      </w:pPr>
      <w:r>
        <w:t>Typed Relational Memory Interface Note</w:t>
      </w:r>
    </w:p>
    <w:p>
      <w:r>
        <w:t>Typed relational memory is a recognized memory-governance extension for the PV-PP framework. It is not a new core operator and does not change the canonical sequence. Cooperation propensity is likewise not an operator, global trust score, probability score, or independent selector. It is counterpart-indexed relational decision state/modification derived from retrieved typed relational evidence together with current expectation/confidence, perceived conditions, commitments, and applicable safeguards.</w:t>
      </w:r>
    </w:p>
    <w:p>
      <w:r>
        <w:t>The extension is anchored by two supporting documents:</w:t>
      </w:r>
    </w:p>
    <w:p>
      <w:pPr>
        <w:pStyle w:val="ListBullet"/>
      </w:pPr>
      <w:r>
        <w:t>PV-PP_Relational_Memory_and_Cooperation_Propensity_Architecture_Framework_Class_Specification_v0_1.docx</w:t>
      </w:r>
    </w:p>
    <w:p>
      <w:pPr>
        <w:pStyle w:val="ListBullet"/>
      </w:pPr>
      <w:r>
        <w:t>PV-PP_Typed_Relational_Memory_Operator_Interface_Addendum_v0_2.docx</w:t>
      </w:r>
    </w:p>
    <w:p>
      <w:pPr>
        <w:pStyle w:val="Heading1"/>
      </w:pPr>
      <w:r>
        <w:t>Operator Touchpoints for Typed Relational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Operator / Stage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Typed relational memory touchpoint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PPP</w:t>
            </w:r>
          </w:p>
        </w:tc>
        <w:tc>
          <w:tcPr>
            <w:tcW w:type="dxa" w:w="4968"/>
            <w:vAlign w:val="top"/>
          </w:tcPr>
          <w:p>
            <w:r>
              <w:t>Retrieved relational evidence may shape perceived partner-specific access, expected reliability, guardrail need, and recovery access as part of perception. Cooperation propensity is not a separate PPP component or score and must not be confused with omniscient Layer 1 state.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Φ / H / G</w:t>
            </w:r>
          </w:p>
        </w:tc>
        <w:tc>
          <w:tcPr>
            <w:tcW w:type="dxa" w:w="4968"/>
            <w:vAlign w:val="top"/>
          </w:tcPr>
          <w:p>
            <w:r>
              <w:t>Typed relational evidence may affect interpreted pressure, horizon assumptions, and recognition of relationship-specific dependency or exposure through their normal inputs. Cooperation propensity does not directly govern Φ, H, or G and cannot create arbitrary governing domains.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ℛ</w:t>
            </w:r>
          </w:p>
        </w:tc>
        <w:tc>
          <w:tcPr>
            <w:tcW w:type="dxa" w:w="4968"/>
            <w:vAlign w:val="top"/>
          </w:tcPr>
          <w:p>
            <w:r>
              <w:t>Regime classification remains derived from the authorized pressure, horizon, and governing structure. Relational evidence may already be reflected in those inputs, but cooperation propensity is not a direct regime selector.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Graph Layer / Π</w:t>
            </w:r>
          </w:p>
        </w:tc>
        <w:tc>
          <w:tcPr>
            <w:tcW w:type="dxa" w:w="4968"/>
            <w:vAlign w:val="top"/>
          </w:tcPr>
          <w:p>
            <w:r>
              <w:t>Primary R24 construction interface: counterpart-indexed relational state may condition which cooperation routes are visible or constructed, including guarded versus unguarded cooperation, contract-bounded exchange, reserve rebuilding, and recovery routes. Π must preserve required guardrails in candidate structure.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Π completeness validation</w:t>
            </w:r>
          </w:p>
        </w:tc>
        <w:tc>
          <w:tcPr>
            <w:tcW w:type="dxa" w:w="4968"/>
            <w:vAlign w:val="top"/>
          </w:tcPr>
          <w:p>
            <w:r>
              <w:t>If typed relational evidence makes materially relevant guarded, recovery, or reserve-rebuild alternatives constructible, completeness validation must not permit their omission. It does not score cooperation propensity.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Constraints</w:t>
            </w:r>
          </w:p>
        </w:tc>
        <w:tc>
          <w:tcPr>
            <w:tcW w:type="dxa" w:w="4968"/>
            <w:vAlign w:val="top"/>
          </w:tcPr>
          <w:p>
            <w:r>
              <w:t>Primary R24 guardrail interface: relationship-specific evidence may require contract, verification, exposure limits, refusal, or other constraints. These are typed relational requirements, not generalized distrust unless the evidence supports generalization.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Domain Framing</w:t>
            </w:r>
          </w:p>
        </w:tc>
        <w:tc>
          <w:tcPr>
            <w:tcW w:type="dxa" w:w="4968"/>
            <w:vAlign w:val="top"/>
          </w:tcPr>
          <w:p>
            <w:r>
              <w:t>Domain Framing retains its canonical preservation-target authority. Relational evidence may affect the surviving candidate structure or relevant state presented to framing, but cooperation propensity does not independently define the preservation target.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Adequacy</w:t>
            </w:r>
          </w:p>
        </w:tc>
        <w:tc>
          <w:tcPr>
            <w:tcW w:type="dxa" w:w="4968"/>
            <w:vAlign w:val="top"/>
          </w:tcPr>
          <w:p>
            <w:r>
              <w:t>Adequacy tests the framed candidate using its canonical criteria. It does not consume cooperation propensity as a veto, preference, or score. Required guardrails and recovery conditions must already be represented in the candidate/state/constraint structure it evaluates.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Σ</w:t>
            </w:r>
          </w:p>
        </w:tc>
        <w:tc>
          <w:tcPr>
            <w:tcW w:type="dxa" w:w="4968"/>
            <w:vAlign w:val="top"/>
          </w:tcPr>
          <w:p>
            <w:r>
              <w:t>Σ receives no direct cooperation-propensity preference input. It selects only among already valid surviving candidates using authorized comparison rules. Relational differences reaching Σ must already be embodied upstream; Σ cannot use remembered defection or trust as an extra veto or preference.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ε</w:t>
            </w:r>
          </w:p>
        </w:tc>
        <w:tc>
          <w:tcPr>
            <w:tcW w:type="dxa" w:w="4968"/>
            <w:vAlign w:val="top"/>
          </w:tcPr>
          <w:p>
            <w:r>
              <w:t>Execution preserves the selected relational guardrails and records realized outcomes for later memory update. It does not retroactively validate an invalid upstream path.</w:t>
            </w:r>
          </w:p>
        </w:tc>
      </w:tr>
    </w:tbl>
    <w:p>
      <w:pPr>
        <w:pStyle w:val="Heading1"/>
      </w:pPr>
      <w:r>
        <w:t>Boundary Rules</w:t>
      </w:r>
    </w:p>
    <w:p>
      <w:pPr>
        <w:pStyle w:val="ListBullet"/>
      </w:pPr>
      <w:r>
        <w:t> Typed relational memory is a memory-governance extension, not a substitute for the operator stack; cooperation propensity is a counterpart-indexed relational modifier, not an operator or selector.</w:t>
      </w:r>
    </w:p>
    <w:p>
      <w:pPr>
        <w:pStyle w:val="ListBullet"/>
      </w:pPr>
      <w:r>
        <w:t> Its direct R24 effects are bounded to relational interpretation, Graph/candidate visibility and construction, relationship-specific guardrail/constraint requirements, and recovery-route availability. Downstream operators retain their own authority.</w:t>
      </w:r>
    </w:p>
    <w:p>
      <w:pPr>
        <w:pStyle w:val="ListBullet"/>
      </w:pPr>
      <w:r>
        <w:t>It supports relationship-specific guardrails and bounded rehabilitation; it must not collapse into generalized distrust unless the memory evidence justifies generalization.</w:t>
      </w:r>
    </w:p>
    <w:p>
      <w:pPr>
        <w:pStyle w:val="ListBullet"/>
      </w:pPr>
      <w:r>
        <w:t>It does not launder defection into full trust reentry merely because later bounded cooperation succeeds.</w:t>
      </w:r>
    </w:p>
    <w:p>
      <w:pPr>
        <w:pStyle w:val="ListBullet"/>
      </w:pPr>
      <w:r>
        <w:t>It does not allow generic recovery to substitute for a domain-specific recovery obligation when the domain-specific pathway is available and governing.</w:t>
      </w:r>
    </w:p>
    <w:p>
      <w:pPr>
        <w:pStyle w:val="ListBullet"/>
      </w:pPr>
      <w:r>
        <w:t>It does not permit reserve reconstruction to starve a governing floor domain.</w:t>
      </w:r>
    </w:p>
    <w:p>
      <w:pPr>
        <w:pStyle w:val="ListBullet"/>
      </w:pPr>
      <w:r>
        <w:t>Purpose/objective representation does not imply endorsement, authorization, feasibility, adequacy, viability, ranking, or selection; objective attainment and viability remain distinct.</w:t>
      </w:r>
    </w:p>
    <w:p>
      <w:pPr>
        <w:pStyle w:val="Heading1"/>
      </w:pPr>
      <w:r>
        <w:t>What This Reference Replaces</w:t>
      </w:r>
    </w:p>
    <w:p>
      <w:pPr>
        <w:pStyle w:val="ListBullet"/>
      </w:pPr>
      <w:r>
        <w:t>Any shorter stack that omits G, the Graph Layer, Π completeness validation, Constraints, Domain Framing, or Adequacy.</w:t>
      </w:r>
    </w:p>
    <w:p>
      <w:pPr>
        <w:pStyle w:val="ListBullet"/>
      </w:pPr>
      <w:r>
        <w:t>Any stack that places governing-domain construction wholly inside ℛ.</w:t>
      </w:r>
    </w:p>
    <w:p>
      <w:pPr>
        <w:pStyle w:val="ListBullet"/>
      </w:pPr>
      <w:r>
        <w:t>Any stack that treats Σ as the owner of adequacy, framing, omission repair, or memory laundering.</w:t>
      </w:r>
    </w:p>
    <w:p>
      <w:pPr>
        <w:pStyle w:val="ListBullet"/>
      </w:pPr>
      <w:r>
        <w:t>Any account of relational memory that treats all remembered cooperation or defection as a scalar trust score rather than typed evidence with relationship-specific implications.</w:t>
      </w:r>
    </w:p>
    <w:p>
      <w:pPr>
        <w:pStyle w:val="Heading1"/>
      </w:pPr>
      <w:r>
        <w:t>Summary</w:t>
      </w:r>
    </w:p>
    <w:p>
      <w:r>
        <w:t>This file should be used as the short-form reference sheet for the active tested stack. Operator internals still belong to the current core file and operator-level canon. Typed relational memory is acknowledged here as a controlled cross-operator influence. Cooperation propensity remains counterpart-indexed relational decision state/modification whose consequences must already be embodied in candidate structure, constraints, framing, adequacy status, or other authorized inputs before Σ acts.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PV-PP Decision Framework - Canonical Operator Stack Reference - v0.8 Merged (Version 2.1)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