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PV-PP</w:t>
      </w:r>
      <w:r>
        <w:t xml:space="preserve"> </w:t>
      </w:r>
      <w:r>
        <w:t xml:space="preserve">Decision</w:t>
      </w:r>
      <w:r>
        <w:t xml:space="preserve"> </w:t>
      </w:r>
      <w:r>
        <w:t xml:space="preserve">Framework</w:t>
      </w:r>
    </w:p>
    <w:p>
      <w:pPr>
        <w:pStyle w:val="Author"/>
      </w:pPr>
      <w:r>
        <w:t xml:space="preserve">Canonical</w:t>
      </w:r>
      <w:r>
        <w:t xml:space="preserve"> </w:t>
      </w:r>
      <w:r>
        <w:t xml:space="preserve">Operator</w:t>
      </w:r>
      <w:r>
        <w:t xml:space="preserve"> </w:t>
      </w:r>
      <w:r>
        <w:t xml:space="preserve">System</w:t>
      </w:r>
      <w:r>
        <w:t xml:space="preserve"> </w:t>
      </w:r>
      <w:r>
        <w:t xml:space="preserve">Specification</w:t>
      </w:r>
    </w:p>
    <w:p>
      <w:pPr>
        <w:pStyle w:val="Date"/>
      </w:pPr>
      <w:r>
        <w:t>Master Architecture Document — Version v1.4 (Version 2.1)</w:t>
      </w:r>
      <w:r/>
      <w:r/>
      <w:r/>
      <w:r/>
      <w:r/>
      <w:r/>
      <w:r/>
      <w:r/>
      <w:r/>
      <w:r/>
    </w:p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states the current system-level Layer 2 architecture of the productive value, productive power framework. It is the master architectural reference for stack ordering, interface contracts, and cross-operator boundary rules.</w:t>
      </w:r>
    </w:p>
    <w:p>
      <w:pPr>
        <w:pStyle w:val="BodyText"/>
      </w:pPr>
      <w:r>
        <w:t xml:space="preserve">It does not replace the current operator-level canonical specifications. Its job is to state the active stack cleanly enough that downstream reference sheets, reader guides, and overview files stop drifting.</w:t>
      </w:r>
    </w:p>
    <w:bookmarkEnd w:id="20"/>
    <w:bookmarkStart w:id="21" w:name="current-canonical-layer-2-stack"/>
    <w:p>
      <w:pPr>
        <w:pStyle w:val="Heading1"/>
      </w:pPr>
      <w:r>
        <w:t xml:space="preserve">Current Canonical Layer 2 Stack</w:t>
      </w:r>
    </w:p>
    <w:p>
      <w:pPr>
        <w:pStyle w:val="FirstParagraph"/>
      </w:pPr>
      <w:r>
        <w:t xml:space="preserve">The current tested Layer 2 ordering is:</w:t>
      </w:r>
    </w:p>
    <w:p>
      <w:pPr>
        <w:pStyle w:val="BodyText"/>
      </w:pPr>
      <w:r>
        <w:rPr>
          <w:b/>
          <w:bCs/>
        </w:rPr>
        <w:t>P_I(t) → Φ → H → G → ℛ → Graph Layer / seed substrate → Π → Π completeness validation → Constraints → Domain Framing → Adequacy → Σ → ε</w:t>
      </w:r>
    </w:p>
    <w:p>
      <w:pPr/>
      <w:r>
        <w:t>Adjacent typed input: O_I(t). O_I(t) is not an operator and is not inserted into the canonical sequence.</w:t>
      </w:r>
    </w:p>
    <w:p>
      <w:pPr>
        <w:pStyle w:val="BodyText"/>
      </w:pPr>
      <w:r>
        <w:t xml:space="preserve">No downstream stage may repair an upstream defect.</w:t>
      </w:r>
    </w:p>
    <w:p>
      <w:pPr>
        <w:pStyle w:val="Compact"/>
        <w:numPr>
          <w:ilvl w:val="0"/>
          <w:numId w:val="1001"/>
        </w:numPr>
      </w:pPr>
      <w:r>
        <w:t xml:space="preserve">Graph omission is not repaired in Π.</w:t>
      </w:r>
    </w:p>
    <w:p>
      <w:pPr>
        <w:pStyle w:val="Compact"/>
        <w:numPr>
          <w:ilvl w:val="0"/>
          <w:numId w:val="1001"/>
        </w:numPr>
      </w:pPr>
      <w:r>
        <w:t xml:space="preserve">Π omission is not repaired in Adequacy or Σ.</w:t>
      </w:r>
    </w:p>
    <w:p>
      <w:pPr>
        <w:pStyle w:val="Compact"/>
        <w:numPr>
          <w:ilvl w:val="0"/>
          <w:numId w:val="1001"/>
        </w:numPr>
      </w:pPr>
      <w:r>
        <w:t xml:space="preserve">Framing error is not repaired downstream.</w:t>
      </w:r>
    </w:p>
    <w:p>
      <w:pPr>
        <w:pStyle w:val="Compact"/>
        <w:numPr>
          <w:ilvl w:val="0"/>
          <w:numId w:val="1001"/>
        </w:numPr>
      </w:pPr>
      <w:r>
        <w:t xml:space="preserve">Execution-side success does not launder upstream invalidity.</w:t>
      </w:r>
    </w:p>
    <w:bookmarkEnd w:id="21"/>
    <w:bookmarkStart w:id="22" w:name="system-level-interpretation"/>
    <w:p>
      <w:pPr>
        <w:pStyle w:val="Heading1"/>
      </w:pPr>
      <w:r>
        <w:t>Purpose/Objectives Interface Boundary</w:t>
      </w:r>
    </w:p>
    <w:p>
      <w:pPr/>
      <w:r>
        <w:t>O_I(t) is the framework-owned set of currently applicable qualified objectives. It is adjacent to P_I(t), not part of perceived state, not a viability variable, and not a new operator. It may direct bounded discovery, retrieval cues, opportunity representation, and application-owned Resp(π,o) evaluation. Objective relevance does not create reachability, confer information-use authority, establish feasibility or adequacy, rank candidates, or select a policy. O_I(t) must not rewrite Φ, H, G, ℛ, Graph admission, Π completeness, Constraints, Domain Framing, Adequacy, Σ, or ε.</w:t>
      </w:r>
    </w:p>
    <w:p>
      <w:pPr>
        <w:pStyle w:val="Heading1"/>
      </w:pPr>
      <w:r>
        <w:t xml:space="preserve">System-Level Interpretation</w:t>
      </w:r>
    </w:p>
    <w:p>
      <w:pPr>
        <w:pStyle w:val="FirstParagraph"/>
      </w:pPr>
      <w:r>
        <w:t>The active stack begins from the structured perceived decision-state interface P_I(t). Φ consumes only its owner-authorized pressure-relevant subset; PPP_I(t) is the perceived productive-capability component of P_I(t), not the complete perceived state. The active stack then turns authorized perceived state into, in order:</w:t>
      </w:r>
    </w:p>
    <w:p>
      <w:pPr>
        <w:pStyle w:val="Compact"/>
        <w:numPr>
          <w:ilvl w:val="0"/>
          <w:numId w:val="1002"/>
        </w:numPr>
      </w:pPr>
      <w:r>
        <w:t xml:space="preserve">represented pressure,</w:t>
      </w:r>
    </w:p>
    <w:p>
      <w:pPr>
        <w:pStyle w:val="Compact"/>
        <w:numPr>
          <w:ilvl w:val="0"/>
          <w:numId w:val="1002"/>
        </w:numPr>
      </w:pPr>
      <w:r>
        <w:t xml:space="preserve">baseline collapse horizons,</w:t>
      </w:r>
    </w:p>
    <w:p>
      <w:pPr>
        <w:pStyle w:val="Compact"/>
        <w:numPr>
          <w:ilvl w:val="0"/>
          <w:numId w:val="1002"/>
        </w:numPr>
      </w:pPr>
      <w:r>
        <w:t xml:space="preserve">structural governance,</w:t>
      </w:r>
    </w:p>
    <w:p>
      <w:pPr>
        <w:pStyle w:val="Compact"/>
        <w:numPr>
          <w:ilvl w:val="0"/>
          <w:numId w:val="1002"/>
        </w:numPr>
      </w:pPr>
      <w:r>
        <w:t xml:space="preserve">behavioral posture,</w:t>
      </w:r>
    </w:p>
    <w:p>
      <w:pPr>
        <w:pStyle w:val="Compact"/>
        <w:numPr>
          <w:ilvl w:val="0"/>
          <w:numId w:val="1002"/>
        </w:numPr>
      </w:pPr>
      <w:r>
        <w:t xml:space="preserve">reachable policy substrate,</w:t>
      </w:r>
    </w:p>
    <w:p>
      <w:pPr>
        <w:pStyle w:val="Compact"/>
        <w:numPr>
          <w:ilvl w:val="0"/>
          <w:numId w:val="1002"/>
        </w:numPr>
      </w:pPr>
      <w:r>
        <w:t xml:space="preserve">bounded candidate policies,</w:t>
      </w:r>
    </w:p>
    <w:p>
      <w:pPr>
        <w:pStyle w:val="Compact"/>
        <w:numPr>
          <w:ilvl w:val="0"/>
          <w:numId w:val="1002"/>
        </w:numPr>
      </w:pPr>
      <w:r>
        <w:t xml:space="preserve">completeness gating,</w:t>
      </w:r>
    </w:p>
    <w:p>
      <w:pPr>
        <w:pStyle w:val="Compact"/>
        <w:numPr>
          <w:ilvl w:val="0"/>
          <w:numId w:val="1002"/>
        </w:numPr>
      </w:pPr>
      <w:r>
        <w:t xml:space="preserve">feasibility filtering,</w:t>
      </w:r>
    </w:p>
    <w:p>
      <w:pPr>
        <w:pStyle w:val="Compact"/>
        <w:numPr>
          <w:ilvl w:val="0"/>
          <w:numId w:val="1002"/>
        </w:numPr>
      </w:pPr>
      <w:r>
        <w:t xml:space="preserve">explicit preservation framing,</w:t>
      </w:r>
    </w:p>
    <w:p>
      <w:pPr>
        <w:pStyle w:val="Compact"/>
        <w:numPr>
          <w:ilvl w:val="0"/>
          <w:numId w:val="1002"/>
        </w:numPr>
      </w:pPr>
      <w:r>
        <w:t xml:space="preserve">recovery-corridor testing,</w:t>
      </w:r>
    </w:p>
    <w:p>
      <w:pPr>
        <w:pStyle w:val="Compact"/>
        <w:numPr>
          <w:ilvl w:val="0"/>
          <w:numId w:val="1002"/>
        </w:numPr>
      </w:pPr>
      <w:r>
        <w:t xml:space="preserve">non-scalar selection, and</w:t>
      </w:r>
    </w:p>
    <w:p>
      <w:pPr>
        <w:pStyle w:val="Compact"/>
        <w:numPr>
          <w:ilvl w:val="0"/>
          <w:numId w:val="1002"/>
        </w:numPr>
      </w:pPr>
      <w:r>
        <w:t xml:space="preserve">bounded realization.</w:t>
      </w:r>
    </w:p>
    <w:p>
      <w:pPr>
        <w:pStyle w:val="FirstParagraph"/>
      </w:pPr>
      <w:r>
        <w:t xml:space="preserve">The ordering is not cosmetic. Each stage exists to prevent a distinct failure type from being hidden inside a later stage.</w:t>
      </w:r>
    </w:p>
    <w:bookmarkEnd w:id="22"/>
    <w:bookmarkStart w:id="23" w:name="core-interpretive-clarifications"/>
    <w:p>
      <w:pPr>
        <w:pStyle w:val="Heading1"/>
      </w:pPr>
      <w:r>
        <w:t xml:space="preserve">Core Interpretive Clarifications</w:t>
      </w:r>
    </w:p>
    <w:p>
      <w:pPr>
        <w:pStyle w:val="FirstParagraph"/>
      </w:pPr>
      <w:r>
        <w:t xml:space="preserve">The framework now requires the following distinction set.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Represented pressure</w:t>
      </w:r>
      <w:r>
        <w:t xml:space="preserve"> </w:t>
      </w:r>
      <w:r>
        <w:t xml:space="preserve">is not the same thing as effective governing force.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Structural governance</w:t>
      </w:r>
      <w:r>
        <w:t xml:space="preserve"> </w:t>
      </w:r>
      <w:r>
        <w:t xml:space="preserve">is not the same thing as local behavioral binding.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Visible damage</w:t>
      </w:r>
      <w:r>
        <w:t xml:space="preserve"> </w:t>
      </w:r>
      <w:r>
        <w:t xml:space="preserve">is not automatically behaviorally binding.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Domain devaluation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acute local dominance</w:t>
      </w:r>
      <w:r>
        <w:t xml:space="preserve"> </w:t>
      </w:r>
      <w:r>
        <w:t xml:space="preserve">are Layer 2 governance phenomena, not Layer 1 state primitives.</w:t>
      </w:r>
    </w:p>
    <w:p>
      <w:pPr>
        <w:pStyle w:val="FirstParagraph"/>
      </w:pPr>
      <w:r>
        <w:t xml:space="preserve">These clarifications close a real gap. A domain may remain structurally governing, remain visible, and still fail to bind local action strongly enough under a dominant path.</w:t>
      </w:r>
    </w:p>
    <w:bookmarkEnd w:id="23"/>
    <w:bookmarkStart w:id="24" w:name="operator-interface-contracts"/>
    <w:p>
      <w:pPr>
        <w:pStyle w:val="Heading1"/>
      </w:pPr>
      <w:r>
        <w:t xml:space="preserve">Operator Interface Contracts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not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 domain-structured pressure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horizon estimation, no governing membership, no policy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baseline collapse horizons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regime assignment, no governing-domain construction, no policy judgment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the dependency-closed governing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pressure ownership, no policy selection, no local care/indifference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behavioral posture from horizons, pressure, and governing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policy construction, no adequacy, no replacement of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 reachable instances, transformations, and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adequacy, no selection, no value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 bounded candidates from graph-derived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graph repair, no adequacy, no final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 completeness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materially incomplete candidate 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framing, no adequacy, no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infeasible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adequacy, no ranking, no omission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 the preservation target explicitly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adequacy, no selection, no graph repair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Adequacy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recovery-corridor sufficiency for the framed governing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ranking, no framing repair, no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non-scalar selection only after upstream validity conditions are satisfied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graph repair, no adequacy reinterpretation, no framing rewrite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bounded execution-side realization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retroactive relicensing of upstream invalidity</w:t>
            </w:r>
          </w:p>
        </w:tc>
      </w:tr>
    </w:tbl>
    <w:bookmarkEnd w:id="24"/>
    <w:bookmarkStart w:id="25" w:name="projection-and-closure-boundary"/>
    <w:p>
      <w:pPr>
        <w:pStyle w:val="Heading1"/>
      </w:pPr>
      <w:r>
        <w:t xml:space="preserve">Projection and Closure Boundary</w:t>
      </w:r>
    </w:p>
    <w:p>
      <w:pPr>
        <w:pStyle w:val="FirstParagraph"/>
      </w:pPr>
      <w:r>
        <w:t xml:space="preserve">Projection remains a shared deterministic subroutine. Closure exists only within projection and must not be smuggled into operator-level logic as a separate penalty, weighting term, or late-stage correction device.</w:t>
      </w:r>
    </w:p>
    <w:p>
      <w:pPr>
        <w:pStyle w:val="BodyText"/>
      </w:pPr>
      <w:r>
        <w:t xml:space="preserve">Accordingly:</w:t>
      </w:r>
    </w:p>
    <w:p>
      <w:pPr>
        <w:pStyle w:val="Compact"/>
        <w:numPr>
          <w:ilvl w:val="0"/>
          <w:numId w:val="1004"/>
        </w:numPr>
      </w:pPr>
      <w:r>
        <w:t xml:space="preserve">Φ does not own closure.</w:t>
      </w:r>
    </w:p>
    <w:p>
      <w:pPr>
        <w:pStyle w:val="Compact"/>
        <w:numPr>
          <w:ilvl w:val="0"/>
          <w:numId w:val="1004"/>
        </w:numPr>
      </w:pPr>
      <w:r>
        <w:t xml:space="preserve">H does not own closure as a separate adjustment term.</w:t>
      </w:r>
    </w:p>
    <w:p>
      <w:pPr>
        <w:pStyle w:val="Compact"/>
        <w:numPr>
          <w:ilvl w:val="0"/>
          <w:numId w:val="1004"/>
        </w:numPr>
      </w:pPr>
      <w:r>
        <w:t xml:space="preserve">G and ℛ do not classify from standalone closure objects.</w:t>
      </w:r>
    </w:p>
    <w:p>
      <w:pPr>
        <w:pStyle w:val="Compact"/>
        <w:numPr>
          <w:ilvl w:val="0"/>
          <w:numId w:val="1004"/>
        </w:numPr>
      </w:pPr>
      <w:r>
        <w:t xml:space="preserve">Σ and ε consume projection outputs under shared consistency rules.</w:t>
      </w:r>
    </w:p>
    <w:bookmarkEnd w:id="25"/>
    <w:bookmarkStart w:id="26" w:name="governance-binding-clarification"/>
    <w:p>
      <w:pPr>
        <w:pStyle w:val="Heading1"/>
      </w:pPr>
      <w:r>
        <w:t xml:space="preserve">Governance-Binding Clarification</w:t>
      </w:r>
    </w:p>
    <w:p>
      <w:pPr>
        <w:pStyle w:val="FirstParagraph"/>
      </w:pPr>
      <w:r>
        <w:t xml:space="preserve">The framework now distinguishes three cases that must not be collapsed: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Perception distortion</w:t>
      </w:r>
      <w:r>
        <w:t xml:space="preserve"> </w:t>
      </w:r>
      <w:r>
        <w:t xml:space="preserve">— damage is concealed, misread, underweighted, or falsely deferred.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Domain devaluation</w:t>
      </w:r>
      <w:r>
        <w:t xml:space="preserve"> </w:t>
      </w:r>
      <w:r>
        <w:t xml:space="preserve">— damage is seen or admitted but does not exert enough governing force to constrain action.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Acute local dominance</w:t>
      </w:r>
      <w:r>
        <w:t xml:space="preserve"> </w:t>
      </w:r>
      <w:r>
        <w:t xml:space="preserve">— one corridor becomes so locally dominant that other domains become functionally non-binding in the moment.</w:t>
      </w:r>
    </w:p>
    <w:p>
      <w:pPr>
        <w:pStyle w:val="FirstParagraph"/>
      </w:pPr>
      <w:r>
        <w:t xml:space="preserve">This distinction does not insert a new operator into the stack. It changes how current operator outputs must be interpreted.</w:t>
      </w:r>
    </w:p>
    <w:bookmarkEnd w:id="26"/>
    <w:bookmarkStart w:id="27" w:name="cross-operator-invariants"/>
    <w:p>
      <w:pPr>
        <w:pStyle w:val="Heading1"/>
      </w:pPr>
      <w:r>
        <w:t xml:space="preserve">Cross-Operator Invariants</w:t>
      </w:r>
    </w:p>
    <w:p>
      <w:pPr>
        <w:pStyle w:val="FirstParagraph"/>
      </w:pPr>
      <w:r>
        <w:t xml:space="preserve">The current stack preserves the following invariants.</w:t>
      </w:r>
    </w:p>
    <w:p>
      <w:pPr>
        <w:pStyle w:val="Compact"/>
        <w:numPr>
          <w:ilvl w:val="0"/>
          <w:numId w:val="1006"/>
        </w:numPr>
      </w:pPr>
      <w:r>
        <w:t xml:space="preserve">The architecture remains non-scalar.</w:t>
      </w:r>
    </w:p>
    <w:p>
      <w:pPr>
        <w:pStyle w:val="Compact"/>
        <w:numPr>
          <w:ilvl w:val="0"/>
          <w:numId w:val="1006"/>
        </w:numPr>
      </w:pPr>
      <w:r>
        <w:t xml:space="preserve">Structural governance is timestep-stable once constructed.</w:t>
      </w:r>
    </w:p>
    <w:p>
      <w:pPr>
        <w:pStyle w:val="Compact"/>
        <w:numPr>
          <w:ilvl w:val="0"/>
          <w:numId w:val="1006"/>
        </w:numPr>
      </w:pPr>
      <w:r>
        <w:t xml:space="preserve">Effective local binding may vary without redefining structural governance.</w:t>
      </w:r>
    </w:p>
    <w:p>
      <w:pPr>
        <w:pStyle w:val="Compact"/>
        <w:numPr>
          <w:ilvl w:val="0"/>
          <w:numId w:val="1006"/>
        </w:numPr>
      </w:pPr>
      <w:r>
        <w:t xml:space="preserve">Execution may reveal hidden burden, hidden support, or hidden infeasibility, but it does not retroactively legalize an upstream invalid result.</w:t>
      </w:r>
    </w:p>
    <w:bookmarkEnd w:id="27"/>
    <w:bookmarkStart w:id="28" w:name="summary"/>
    <w:p>
      <w:pPr/>
      <w:r>
        <w:t>Purpose/objective relevance is informational and bounded: objective attainment and viability remain distinct, and purpose cannot become a hidden scalar preference or downstream repair mechanism.</w:t>
      </w:r>
    </w:p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current Layer 2 architecture of the productive value, productive power framework is graph-bound, gate-disciplined, explicitly framed, recovery-corridor tested, and execution-bridge aware. The added governance-binding clarification closes a real gap without collapsing operator ownership or pushing decision phenomena down into Layer 1.</w:t>
      </w:r>
    </w:p>
    <w:bookmarkEnd w:id="28"/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F497D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" w:asciiTheme="majorHAnsi" w:cstheme="majorBidi" w:eastAsiaTheme="majorEastAsia" w:hAnsi="Aptos" w:hAnsiTheme="majorHAnsi"/>
      <w:b/>
      <w:bCs/>
      <w:color w:val="1F497D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" w:asciiTheme="majorHAnsi" w:cstheme="majorBidi" w:eastAsiaTheme="majorEastAsia" w:hAnsi="Aptos" w:hAnsiTheme="majorHAnsi"/>
      <w:b/>
      <w:bCs/>
      <w:color w:themeColor="accent1" w:val="4F81BD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PV-PP Decision Framework</dc:title>
  <dc:creator>Canonical Operator System Specification</dc:creator>
  <cp:keywords/>
  <dcterms:created xsi:type="dcterms:W3CDTF">2026-04-07T14:41:45Z</dcterms:created>
  <dcterms:modified xsi:type="dcterms:W3CDTF">2026-04-07T14:41:45Z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Master Architecture Document — Version v1.2</vt:lpwstr>
  </property>
</Properties>
</file>