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4"/>
        </w:rPr>
        <w:t>PV-PP Framework</w:t>
        <w:br/>
        <w:t>Operator Invariants</w:t>
      </w:r>
    </w:p>
    <w:p>
      <w:pPr>
        <w:jc w:val="center"/>
      </w:pPr>
      <w:r>
        <w:rPr>
          <w:i/>
          <w:color w:val="4B5563"/>
          <w:sz w:val="22"/>
        </w:rPr>
        <w:t>Architecture Constraint Document | Version v0.3</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2592"/>
            <w:shd w:fill="111827"/>
          </w:tcPr>
          <w:p>
            <w:pPr>
              <w:spacing w:after="0"/>
            </w:pPr>
            <w:r/>
            <w:r>
              <w:rPr>
                <w:b/>
                <w:color w:val="FFFFFF"/>
              </w:rPr>
              <w:t>Field</w:t>
            </w:r>
          </w:p>
        </w:tc>
        <w:tc>
          <w:tcPr>
            <w:tcW w:type="dxa" w:w="8352"/>
            <w:shd w:fill="111827"/>
          </w:tcPr>
          <w:p>
            <w:pPr>
              <w:spacing w:after="0"/>
            </w:pPr>
            <w:r/>
            <w:r>
              <w:rPr>
                <w:b/>
                <w:color w:val="FFFFFF"/>
              </w:rPr>
              <w:t>Value</w:t>
            </w:r>
          </w:p>
        </w:tc>
      </w:tr>
      <w:tr>
        <w:tc>
          <w:tcPr>
            <w:tcW w:type="dxa" w:w="2592"/>
            <w:vAlign w:val="top"/>
          </w:tcPr>
          <w:p>
            <w:r/>
            <w:r>
              <w:rPr>
                <w:b w:val="0"/>
              </w:rPr>
              <w:t>Document type</w:t>
            </w:r>
          </w:p>
        </w:tc>
        <w:tc>
          <w:tcPr>
            <w:tcW w:type="dxa" w:w="8352"/>
            <w:vAlign w:val="top"/>
          </w:tcPr>
          <w:p>
            <w:r/>
            <w:r>
              <w:rPr>
                <w:b w:val="0"/>
              </w:rPr>
              <w:t>Architecture constraint / stack-governance support document</w:t>
            </w:r>
          </w:p>
        </w:tc>
      </w:tr>
      <w:tr>
        <w:tc>
          <w:tcPr>
            <w:tcW w:type="dxa" w:w="2592"/>
            <w:vAlign w:val="top"/>
          </w:tcPr>
          <w:p>
            <w:r/>
            <w:r>
              <w:rPr>
                <w:b w:val="0"/>
              </w:rPr>
              <w:t>Primary folder</w:t>
            </w:r>
          </w:p>
        </w:tc>
        <w:tc>
          <w:tcPr>
            <w:tcW w:type="dxa" w:w="8352"/>
            <w:vAlign w:val="top"/>
          </w:tcPr>
          <w:p>
            <w:r/>
            <w:r>
              <w:rPr>
                <w:b w:val="0"/>
              </w:rPr>
              <w:t>20 Stack and Layer Governance</w:t>
            </w:r>
          </w:p>
        </w:tc>
      </w:tr>
      <w:tr>
        <w:tc>
          <w:tcPr>
            <w:tcW w:type="dxa" w:w="2592"/>
            <w:vAlign w:val="top"/>
          </w:tcPr>
          <w:p>
            <w:r/>
            <w:r>
              <w:rPr>
                <w:b w:val="0"/>
              </w:rPr>
              <w:t>Cross-reference</w:t>
            </w:r>
          </w:p>
        </w:tc>
        <w:tc>
          <w:tcPr>
            <w:tcW w:type="dxa" w:w="8352"/>
            <w:vAlign w:val="top"/>
          </w:tcPr>
          <w:p>
            <w:r/>
            <w:r>
              <w:rPr>
                <w:b w:val="0"/>
              </w:rPr>
              <w:t>00 Project Control; 15 Operators; 60 Benchmarks and Simulations; 70 Memory Model</w:t>
            </w:r>
          </w:p>
        </w:tc>
      </w:tr>
      <w:tr>
        <w:tc>
          <w:tcPr>
            <w:tcW w:type="dxa" w:w="2592"/>
            <w:vAlign w:val="top"/>
          </w:tcPr>
          <w:p>
            <w:r/>
            <w:r>
              <w:rPr>
                <w:b w:val="0"/>
              </w:rPr>
              <w:t>Status</w:t>
            </w:r>
          </w:p>
        </w:tc>
        <w:tc>
          <w:tcPr>
            <w:tcW w:type="dxa" w:w="8352"/>
            <w:vAlign w:val="top"/>
          </w:tcPr>
          <w:p>
            <w:r/>
            <w:r>
              <w:rPr>
                <w:b w:val="0"/>
              </w:rPr>
              <w:t>Current replacement draft; supersedes Working Draft v0.1 after review</w:t>
            </w:r>
          </w:p>
        </w:tc>
      </w:tr>
      <w:tr>
        <w:tc>
          <w:tcPr>
            <w:tcW w:type="dxa" w:w="2592"/>
            <w:vAlign w:val="top"/>
          </w:tcPr>
          <w:p>
            <w:r/>
            <w:r>
              <w:rPr>
                <w:b w:val="0"/>
              </w:rPr>
              <w:t>Authoritative scope</w:t>
            </w:r>
          </w:p>
        </w:tc>
        <w:tc>
          <w:tcPr>
            <w:tcW w:type="dxa" w:w="8352"/>
            <w:vAlign w:val="top"/>
          </w:tcPr>
          <w:p>
            <w:r/>
            <w:r>
              <w:rPr>
                <w:b w:val="0"/>
              </w:rPr>
              <w:t>Defines structural invariants that any valid PV-PP operator-stack implementation, simulator, benchmark, or runtime mapping must preserve.</w:t>
            </w:r>
          </w:p>
        </w:tc>
      </w:tr>
      <w:tr>
        <w:tc>
          <w:tcPr>
            <w:tcW w:type="dxa" w:w="2592"/>
            <w:vAlign w:val="top"/>
          </w:tcPr>
          <w:p>
            <w:r/>
            <w:r>
              <w:rPr>
                <w:b w:val="0"/>
              </w:rPr>
              <w:t>Claim boundary</w:t>
            </w:r>
          </w:p>
        </w:tc>
        <w:tc>
          <w:tcPr>
            <w:tcW w:type="dxa" w:w="8352"/>
            <w:vAlign w:val="top"/>
          </w:tcPr>
          <w:p>
            <w:r/>
            <w:r>
              <w:rPr>
                <w:b w:val="0"/>
              </w:rPr>
              <w:t>This document does not define new operators, prove scalar-containment results, or replace owning operator specifications. It constrains valid implementation and detects architectural drift.</w:t>
            </w:r>
          </w:p>
        </w:tc>
      </w:tr>
      <w:tr>
        <w:tc>
          <w:tcPr>
            <w:tcW w:type="dxa" w:w="2592"/>
            <w:vAlign w:val="top"/>
          </w:tcPr>
          <w:p>
            <w:r/>
            <w:r>
              <w:rPr>
                <w:b w:val="0"/>
              </w:rPr>
              <w:t>Supersedes</w:t>
            </w:r>
          </w:p>
        </w:tc>
        <w:tc>
          <w:tcPr>
            <w:tcW w:type="dxa" w:w="8352"/>
            <w:vAlign w:val="top"/>
          </w:tcPr>
          <w:p>
            <w:r/>
            <w:r>
              <w:rPr>
                <w:b w:val="0"/>
              </w:rPr>
              <w:t>PV–PP Operator Invariants — Working Draft v0.1</w:t>
            </w:r>
          </w:p>
        </w:tc>
      </w:tr>
    </w:tbl>
    <w:p/>
    <w:p>
      <w:pPr>
        <w:pStyle w:val="Heading1"/>
      </w:pPr>
      <w:r>
        <w:t>1. Purpose</w:t>
      </w:r>
    </w:p>
    <w:p>
      <w:r>
        <w:t>This document specifies structural invariants governing the current PV-PP operator stack. These invariants are not behavioral expectations, policy preferences, or simulation outcomes. They are architecture constraints: if an implementation violates them, the implementation has drifted from the PV-PP framework or has exposed an unresolved architectural contradiction.</w:t>
      </w:r>
    </w:p>
    <w:p>
      <w:r>
        <w:t>The previous Working Draft v0.1 correctly identified several durable invariants, including non-scalar viability, collapse dominance, domain orthogonality, finite candidate sets, governing-domain protection, and explicit domain transitions. This v0.2 replacement aligns those invariants to the current expanded stack and removes outdated assumptions from the older draft, including the treatment of feasibility as internal to Π and the requirement that ε always be deterministic.</w:t>
      </w:r>
    </w:p>
    <w:p>
      <w:pPr>
        <w:pStyle w:val="Heading1"/>
      </w:pPr>
      <w:r>
        <w:t>2. Current Operator Stack Governed by These Invariants</w:t>
      </w:r>
    </w:p>
    <w:p>
      <w:r>
        <w:t>The current PV-PP operator stack is:</w:t>
      </w:r>
    </w:p>
    <w:p>
      <w:pPr>
        <w:jc w:val="center"/>
      </w:pPr>
      <w:r>
        <w:rPr>
          <w:b/>
          <w:sz w:val="23"/>
        </w:rPr>
        <w:t>P_I(t) → Φ → H → G → ℛ → Graph Layer / seed substrate → Π → Π completeness validation → Constraints → Domain Framing → Adequacy → Σ → ε</w:t>
      </w:r>
    </w:p>
    <w:p>
      <w:r>
        <w:t>This document treats that ordering as controlling. Older stack forms such as ℛ → Π → Σ → ε or PPP → Φ → H → ℛ → Π → Σ → ε are superseded for current architecture-governance purposes.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240"/>
            <w:shd w:fill="111827"/>
          </w:tcPr>
          <w:p>
            <w:pPr>
              <w:spacing w:after="0"/>
            </w:pPr>
            <w:r/>
            <w:r>
              <w:rPr>
                <w:b/>
                <w:color w:val="FFFFFF"/>
              </w:rPr>
              <w:t>Stack element</w:t>
            </w:r>
          </w:p>
        </w:tc>
        <w:tc>
          <w:tcPr>
            <w:tcW w:type="dxa" w:w="7704"/>
            <w:shd w:fill="111827"/>
          </w:tcPr>
          <w:p>
            <w:pPr>
              <w:spacing w:after="0"/>
            </w:pPr>
            <w:r/>
            <w:r>
              <w:rPr>
                <w:b/>
                <w:color w:val="FFFFFF"/>
              </w:rPr>
              <w:t>Invariant role</w:t>
            </w:r>
          </w:p>
        </w:tc>
      </w:tr>
      <w:tr>
        <w:tc>
          <w:tcPr>
            <w:tcW w:type="dxa" w:w="3240"/>
            <w:vAlign w:val="top"/>
          </w:tcPr>
          <w:p>
            <w:r/>
            <w:r>
              <w:rPr>
                <w:b w:val="0"/>
              </w:rPr>
              <w:t>PPP</w:t>
            </w:r>
          </w:p>
        </w:tc>
        <w:tc>
          <w:tcPr>
            <w:tcW w:type="dxa" w:w="7704"/>
            <w:vAlign w:val="top"/>
          </w:tcPr>
          <w:p>
            <w:r/>
            <w:r>
              <w:rPr>
                <w:b w:val="0"/>
              </w:rPr>
              <w:t>Perceived productive-power state used by the decision system.</w:t>
            </w:r>
          </w:p>
        </w:tc>
      </w:tr>
      <w:tr>
        <w:tc>
          <w:tcPr>
            <w:tcW w:type="dxa" w:w="3240"/>
            <w:vAlign w:val="top"/>
          </w:tcPr>
          <w:p>
            <w:r/>
            <w:r>
              <w:rPr>
                <w:b w:val="0"/>
              </w:rPr>
              <w:t>Φ</w:t>
            </w:r>
          </w:p>
        </w:tc>
        <w:tc>
          <w:tcPr>
            <w:tcW w:type="dxa" w:w="7704"/>
            <w:vAlign w:val="top"/>
          </w:tcPr>
          <w:p>
            <w:r/>
            <w:r>
              <w:rPr>
                <w:b w:val="0"/>
              </w:rPr>
              <w:t>Pressure-field operator mapping perceived state into domain pressure.</w:t>
            </w:r>
          </w:p>
        </w:tc>
      </w:tr>
      <w:tr>
        <w:tc>
          <w:tcPr>
            <w:tcW w:type="dxa" w:w="3240"/>
            <w:vAlign w:val="top"/>
          </w:tcPr>
          <w:p>
            <w:r/>
            <w:r>
              <w:rPr>
                <w:b w:val="0"/>
              </w:rPr>
              <w:t>H</w:t>
            </w:r>
          </w:p>
        </w:tc>
        <w:tc>
          <w:tcPr>
            <w:tcW w:type="dxa" w:w="7704"/>
            <w:vAlign w:val="top"/>
          </w:tcPr>
          <w:p>
            <w:r/>
            <w:r>
              <w:rPr>
                <w:b w:val="0"/>
              </w:rPr>
              <w:t>Collapse-horizon operator estimating baseline domain vulnerability.</w:t>
            </w:r>
          </w:p>
        </w:tc>
      </w:tr>
      <w:tr>
        <w:tc>
          <w:tcPr>
            <w:tcW w:type="dxa" w:w="3240"/>
            <w:vAlign w:val="top"/>
          </w:tcPr>
          <w:p>
            <w:r/>
            <w:r>
              <w:rPr>
                <w:b w:val="0"/>
              </w:rPr>
              <w:t>G</w:t>
            </w:r>
          </w:p>
        </w:tc>
        <w:tc>
          <w:tcPr>
            <w:tcW w:type="dxa" w:w="7704"/>
            <w:vAlign w:val="top"/>
          </w:tcPr>
          <w:p>
            <w:r/>
            <w:r>
              <w:rPr>
                <w:b w:val="0"/>
              </w:rPr>
              <w:t>Governing-domain constructor identifying which domains currently constrain action.</w:t>
            </w:r>
          </w:p>
        </w:tc>
      </w:tr>
      <w:tr>
        <w:tc>
          <w:tcPr>
            <w:tcW w:type="dxa" w:w="3240"/>
            <w:vAlign w:val="top"/>
          </w:tcPr>
          <w:p>
            <w:r/>
            <w:r>
              <w:rPr>
                <w:b w:val="0"/>
              </w:rPr>
              <w:t>ℛ</w:t>
            </w:r>
          </w:p>
        </w:tc>
        <w:tc>
          <w:tcPr>
            <w:tcW w:type="dxa" w:w="7704"/>
            <w:vAlign w:val="top"/>
          </w:tcPr>
          <w:p>
            <w:r/>
            <w:r>
              <w:rPr>
                <w:b w:val="0"/>
              </w:rPr>
              <w:t>Regime classifier assigning the action posture from pressure, horizon, governing-domain, memory, and context conditions.</w:t>
            </w:r>
          </w:p>
        </w:tc>
      </w:tr>
      <w:tr>
        <w:tc>
          <w:tcPr>
            <w:tcW w:type="dxa" w:w="3240"/>
            <w:vAlign w:val="top"/>
          </w:tcPr>
          <w:p>
            <w:r/>
            <w:r>
              <w:rPr>
                <w:b w:val="0"/>
              </w:rPr>
              <w:t>Graph Layer / seed substrate</w:t>
            </w:r>
          </w:p>
        </w:tc>
        <w:tc>
          <w:tcPr>
            <w:tcW w:type="dxa" w:w="7704"/>
            <w:vAlign w:val="top"/>
          </w:tcPr>
          <w:p>
            <w:r/>
            <w:r>
              <w:rPr>
                <w:b w:val="0"/>
              </w:rPr>
              <w:t>Reachability and candidate-family substrate used to bound and structure policy generation.</w:t>
            </w:r>
          </w:p>
        </w:tc>
      </w:tr>
      <w:tr>
        <w:tc>
          <w:tcPr>
            <w:tcW w:type="dxa" w:w="3240"/>
            <w:vAlign w:val="top"/>
          </w:tcPr>
          <w:p>
            <w:r/>
            <w:r>
              <w:rPr>
                <w:b w:val="0"/>
              </w:rPr>
              <w:t>Π</w:t>
            </w:r>
          </w:p>
        </w:tc>
        <w:tc>
          <w:tcPr>
            <w:tcW w:type="dxa" w:w="7704"/>
            <w:vAlign w:val="top"/>
          </w:tcPr>
          <w:p>
            <w:r/>
            <w:r>
              <w:rPr>
                <w:b w:val="0"/>
              </w:rPr>
              <w:t>Candidate policy/action-family construction.</w:t>
            </w:r>
          </w:p>
        </w:tc>
      </w:tr>
      <w:tr>
        <w:tc>
          <w:tcPr>
            <w:tcW w:type="dxa" w:w="3240"/>
            <w:vAlign w:val="top"/>
          </w:tcPr>
          <w:p>
            <w:r/>
            <w:r>
              <w:rPr>
                <w:b w:val="0"/>
              </w:rPr>
              <w:t>Π completeness validation</w:t>
            </w:r>
          </w:p>
        </w:tc>
        <w:tc>
          <w:tcPr>
            <w:tcW w:type="dxa" w:w="7704"/>
            <w:vAlign w:val="top"/>
          </w:tcPr>
          <w:p>
            <w:r/>
            <w:r>
              <w:rPr>
                <w:b w:val="0"/>
              </w:rPr>
              <w:t>Check that the candidate family set is materially sufficient for the framed problem.</w:t>
            </w:r>
          </w:p>
        </w:tc>
      </w:tr>
      <w:tr>
        <w:tc>
          <w:tcPr>
            <w:tcW w:type="dxa" w:w="3240"/>
            <w:vAlign w:val="top"/>
          </w:tcPr>
          <w:p>
            <w:r/>
            <w:r>
              <w:rPr>
                <w:b w:val="0"/>
              </w:rPr>
              <w:t>Constraints</w:t>
            </w:r>
          </w:p>
        </w:tc>
        <w:tc>
          <w:tcPr>
            <w:tcW w:type="dxa" w:w="7704"/>
            <w:vAlign w:val="top"/>
          </w:tcPr>
          <w:p>
            <w:r/>
            <w:r>
              <w:rPr>
                <w:b w:val="0"/>
              </w:rPr>
              <w:t>Feasibility, authority, hard policy, role, physical, legal, and system-permission filtering.</w:t>
            </w:r>
          </w:p>
        </w:tc>
      </w:tr>
      <w:tr>
        <w:tc>
          <w:tcPr>
            <w:tcW w:type="dxa" w:w="3240"/>
            <w:vAlign w:val="top"/>
          </w:tcPr>
          <w:p>
            <w:r/>
            <w:r>
              <w:rPr>
                <w:b w:val="0"/>
              </w:rPr>
              <w:t>Domain Framing</w:t>
            </w:r>
          </w:p>
        </w:tc>
        <w:tc>
          <w:tcPr>
            <w:tcW w:type="dxa" w:w="7704"/>
            <w:vAlign w:val="top"/>
          </w:tcPr>
          <w:p>
            <w:r/>
            <w:r>
              <w:rPr>
                <w:b w:val="0"/>
              </w:rPr>
              <w:t>Explicit declaration of the preservation or recovery target.</w:t>
            </w:r>
          </w:p>
        </w:tc>
      </w:tr>
      <w:tr>
        <w:tc>
          <w:tcPr>
            <w:tcW w:type="dxa" w:w="3240"/>
            <w:vAlign w:val="top"/>
          </w:tcPr>
          <w:p>
            <w:r/>
            <w:r>
              <w:rPr>
                <w:b w:val="0"/>
              </w:rPr>
              <w:t>Adequacy</w:t>
            </w:r>
          </w:p>
        </w:tc>
        <w:tc>
          <w:tcPr>
            <w:tcW w:type="dxa" w:w="7704"/>
            <w:vAlign w:val="top"/>
          </w:tcPr>
          <w:p>
            <w:r/>
            <w:r>
              <w:rPr>
                <w:b w:val="0"/>
              </w:rPr>
              <w:t>Evaluation of whether remaining candidates preserve or restore enough of the target, with recovery corridor sufficiency.</w:t>
            </w:r>
          </w:p>
        </w:tc>
      </w:tr>
      <w:tr>
        <w:tc>
          <w:tcPr>
            <w:tcW w:type="dxa" w:w="3240"/>
            <w:vAlign w:val="top"/>
          </w:tcPr>
          <w:p>
            <w:r/>
            <w:r>
              <w:rPr>
                <w:b w:val="0"/>
              </w:rPr>
              <w:t>Σ</w:t>
            </w:r>
          </w:p>
        </w:tc>
        <w:tc>
          <w:tcPr>
            <w:tcW w:type="dxa" w:w="7704"/>
            <w:vAlign w:val="top"/>
          </w:tcPr>
          <w:p>
            <w:r/>
            <w:r>
              <w:rPr>
                <w:b w:val="0"/>
              </w:rPr>
              <w:t>Non-scalar selection among upstream-valid candidates.</w:t>
            </w:r>
          </w:p>
        </w:tc>
      </w:tr>
      <w:tr>
        <w:tc>
          <w:tcPr>
            <w:tcW w:type="dxa" w:w="3240"/>
            <w:vAlign w:val="top"/>
          </w:tcPr>
          <w:p>
            <w:r/>
            <w:r>
              <w:rPr>
                <w:b w:val="0"/>
              </w:rPr>
              <w:t>ε</w:t>
            </w:r>
          </w:p>
        </w:tc>
        <w:tc>
          <w:tcPr>
            <w:tcW w:type="dxa" w:w="7704"/>
            <w:vAlign w:val="top"/>
          </w:tcPr>
          <w:p>
            <w:r/>
            <w:r>
              <w:rPr>
                <w:b w:val="0"/>
              </w:rPr>
              <w:t>Bounded realization, execution admission, monitoring, completion checking, abort/return, and trace update.</w:t>
            </w:r>
          </w:p>
        </w:tc>
      </w:tr>
    </w:tbl>
    <w:p>
      <w:pPr>
        <w:pStyle w:val="Heading1"/>
      </w:pPr>
      <w:r>
        <w:t>3. Whole-Stack Invariants</w:t>
      </w:r>
    </w:p>
    <w:p>
      <w:pPr>
        <w:pStyle w:val="Heading2"/>
      </w:pPr>
      <w:r>
        <w:t>3.1 No Downstream Repair</w:t>
      </w:r>
    </w:p>
    <w:p>
      <w:r>
        <w:t>No downstream operator may repair a material upstream failure. Σ cannot repair an incomplete Π set. ε cannot repair failed adequacy. Execution success cannot repair bad domain framing. A plausible final action is invalid if generated from an invalid upstream path.</w:t>
      </w:r>
    </w:p>
    <w:p>
      <w:pPr>
        <w:pStyle w:val="Heading2"/>
      </w:pPr>
      <w:r>
        <w:t>3.2 Non-Scalar Viability</w:t>
      </w:r>
    </w:p>
    <w:p>
      <w:r>
        <w:t>Viability remains domain-specific. The framework may use scalar diagnostics internally, but no governing decision may collapse non-substitutable domain viability into a single utility, reward, confidence, risk, or preference score.</w:t>
      </w:r>
    </w:p>
    <w:p>
      <w:pPr>
        <w:pStyle w:val="Heading2"/>
      </w:pPr>
      <w:r>
        <w:t>3.3 Collapse Dominance</w:t>
      </w:r>
    </w:p>
    <w:p>
      <w:r>
        <w:t>If a persistence-bearing governing domain crosses its collapse threshold, the failure cannot be offset by gains in another domain. Cross-domain substitution cannot hide domain collapse.</w:t>
      </w:r>
    </w:p>
    <w:p>
      <w:pPr>
        <w:pStyle w:val="Heading2"/>
      </w:pPr>
      <w:r>
        <w:t>3.4 Domain Orthogonality and Conditional Coupling</w:t>
      </w:r>
    </w:p>
    <w:p>
      <w:r>
        <w:t>Domains may interact, propagate pressure, or condition each other, but they cannot be treated as commensurable by default. Coupling must be explicit and cannot become a hidden scalar exchange rate.</w:t>
      </w:r>
    </w:p>
    <w:p>
      <w:pPr>
        <w:pStyle w:val="Heading2"/>
      </w:pPr>
      <w:r>
        <w:t>3.5 Explicit Transition Effects</w:t>
      </w:r>
    </w:p>
    <w:p>
      <w:r>
        <w:t>Candidate policies and realized actions must have explicit projected effects on relevant domains, recovery corridors, authority state, traceability, and downstream completion state. Implicit “good outcome” assumptions are not valid domain effects.</w:t>
      </w:r>
    </w:p>
    <w:p>
      <w:pPr>
        <w:pStyle w:val="Heading2"/>
      </w:pPr>
      <w:r>
        <w:t>3.6 Bounded Perception</w:t>
      </w:r>
    </w:p>
    <w:p>
      <w:r>
        <w:t>The decision system acts on P_I(t), not omniscient S_I(t). PPP_I(t) is only the perceived productive-capability component of that interface. Unknown, stale, distorted, missing, or source-contested state must remain visible as governance-relevant uncertainty.</w:t>
      </w:r>
    </w:p>
    <w:p>
      <w:pPr>
        <w:pStyle w:val="Heading2"/>
      </w:pPr>
      <w:r>
        <w:t>3.7 Collapse Reachability</w:t>
      </w:r>
    </w:p>
    <w:p>
      <w:r>
        <w:t>The framework does not guarantee survival. Under sufficiently adverse conditions, collapse must remain reachable. Any implementation that guarantees survival by construction is not a valid PV-PP implementation.</w:t>
      </w:r>
    </w:p>
    <w:p>
      <w:pPr>
        <w:pStyle w:val="Heading2"/>
      </w:pPr>
      <w:r>
        <w:t>3.8 Traceability</w:t>
      </w:r>
    </w:p>
    <w:p>
      <w:r>
        <w:t>A valid implementation must preserve enough trace information to reconstruct perceived state, pressure, horizon, governing domains, regime, candidate families, completeness status, constraints, framing, adequacy, selection, realization, and execution outcome.</w:t>
      </w:r>
    </w:p>
    <w:p>
      <w:pPr>
        <w:pStyle w:val="Heading1"/>
      </w:pPr>
      <w:r>
        <w:t>4. Per-Stage Invariants</w:t>
      </w:r>
    </w:p>
    <w:p>
      <w:pPr>
        <w:pStyle w:val="Heading2"/>
      </w:pPr>
      <w:r>
        <w:t>4.1 Perceived-State Interface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Perception-bound decision</w:t>
            </w:r>
          </w:p>
        </w:tc>
        <w:tc>
          <w:tcPr>
            <w:tcW w:type="dxa" w:w="7920"/>
            <w:vAlign w:val="top"/>
          </w:tcPr>
          <w:p>
            <w:r>
              <w:t>All downstream processing begins from perceived state. A simulator or runtime must not use hidden true-state knowledge to improve decisions unless that knowledge is represented in P_I(t) through an authorized perceived-state component or quality/unknown structure.</w:t>
            </w:r>
            <w:r>
              <w:rPr>
                <w:b w:val="0"/>
              </w:rPr>
            </w:r>
          </w:p>
        </w:tc>
      </w:tr>
      <w:tr>
        <w:tc>
          <w:tcPr>
            <w:tcW w:type="dxa" w:w="3024"/>
            <w:vAlign w:val="top"/>
          </w:tcPr>
          <w:p>
            <w:r/>
            <w:r>
              <w:rPr>
                <w:b w:val="0"/>
              </w:rPr>
              <w:t>Unknowns are not neutral</w:t>
            </w:r>
          </w:p>
        </w:tc>
        <w:tc>
          <w:tcPr>
            <w:tcW w:type="dxa" w:w="7920"/>
            <w:vAlign w:val="top"/>
          </w:tcPr>
          <w:p>
            <w:r/>
            <w:r>
              <w:rPr>
                <w:b w:val="0"/>
              </w:rPr>
              <w:t>Unknown source authority, stale information, missing state, or conflicted memory must be carried as risk-bearing structure rather than ignored.</w:t>
            </w:r>
          </w:p>
        </w:tc>
      </w:tr>
      <w:tr>
        <w:tc>
          <w:tcPr>
            <w:tcW w:type="dxa" w:w="3024"/>
            <w:vAlign w:val="top"/>
          </w:tcPr>
          <w:p>
            <w:r/>
            <w:r>
              <w:rPr>
                <w:b w:val="0"/>
              </w:rPr>
              <w:t>Memory typing</w:t>
            </w:r>
          </w:p>
        </w:tc>
        <w:tc>
          <w:tcPr>
            <w:tcW w:type="dxa" w:w="7920"/>
            <w:vAlign w:val="top"/>
          </w:tcPr>
          <w:p>
            <w:r>
              <w:t>Memory that affects P_I(t) must be typed by governance role: obligation, defect, policy, preference, episodic, interaction, or trust/cooperation record. Memory cannot silently override current authoritative state.</w:t>
            </w:r>
            <w:r>
              <w:rPr>
                <w:b w:val="0"/>
              </w:rPr>
            </w:r>
          </w:p>
        </w:tc>
      </w:tr>
    </w:tbl>
    <w:p/>
    <w:p>
      <w:pPr>
        <w:pStyle w:val="Heading2"/>
      </w:pPr>
      <w:r>
        <w:t>4.2 Φ Pressure-Field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Monotonic compression</w:t>
            </w:r>
          </w:p>
        </w:tc>
        <w:tc>
          <w:tcPr>
            <w:tcW w:type="dxa" w:w="7920"/>
            <w:vAlign w:val="top"/>
          </w:tcPr>
          <w:p>
            <w:r/>
            <w:r>
              <w:rPr>
                <w:b w:val="0"/>
              </w:rPr>
              <w:t>As a domain approaches its viability boundary under otherwise stable deterioration, pressure must not decrease.</w:t>
            </w:r>
          </w:p>
        </w:tc>
      </w:tr>
      <w:tr>
        <w:tc>
          <w:tcPr>
            <w:tcW w:type="dxa" w:w="3024"/>
            <w:vAlign w:val="top"/>
          </w:tcPr>
          <w:p>
            <w:r/>
            <w:r>
              <w:rPr>
                <w:b w:val="0"/>
              </w:rPr>
              <w:t>Pressure is multi-domain</w:t>
            </w:r>
          </w:p>
        </w:tc>
        <w:tc>
          <w:tcPr>
            <w:tcW w:type="dxa" w:w="7920"/>
            <w:vAlign w:val="top"/>
          </w:tcPr>
          <w:p>
            <w:r/>
            <w:r>
              <w:rPr>
                <w:b w:val="0"/>
              </w:rPr>
              <w:t>Pressure must be represented by domain or domain-family structure, not as a single undifferentiated urgency value.</w:t>
            </w:r>
          </w:p>
        </w:tc>
      </w:tr>
      <w:tr>
        <w:tc>
          <w:tcPr>
            <w:tcW w:type="dxa" w:w="3024"/>
            <w:vAlign w:val="top"/>
          </w:tcPr>
          <w:p>
            <w:r/>
            <w:r>
              <w:rPr>
                <w:b w:val="0"/>
              </w:rPr>
              <w:t>Metric pressure visibility</w:t>
            </w:r>
          </w:p>
        </w:tc>
        <w:tc>
          <w:tcPr>
            <w:tcW w:type="dxa" w:w="7920"/>
            <w:vAlign w:val="top"/>
          </w:tcPr>
          <w:p>
            <w:r/>
            <w:r>
              <w:rPr>
                <w:b w:val="0"/>
              </w:rPr>
              <w:t>External incentives such as throughput, cost, delay, backlog, or deadline pressure must be representable as pressure/distortion factors when they affect governance.</w:t>
            </w:r>
          </w:p>
        </w:tc>
      </w:tr>
    </w:tbl>
    <w:p/>
    <w:p>
      <w:pPr>
        <w:pStyle w:val="Heading2"/>
      </w:pPr>
      <w:r>
        <w:t>4.3 H Collapse-Horizon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Boundary reference</w:t>
            </w:r>
          </w:p>
        </w:tc>
        <w:tc>
          <w:tcPr>
            <w:tcW w:type="dxa" w:w="7920"/>
            <w:vAlign w:val="top"/>
          </w:tcPr>
          <w:p>
            <w:r/>
            <w:r>
              <w:rPr>
                <w:b w:val="0"/>
              </w:rPr>
              <w:t>Collapse horizon is measured relative to viability thresholds, not arbitrary zero points.</w:t>
            </w:r>
          </w:p>
        </w:tc>
      </w:tr>
      <w:tr>
        <w:tc>
          <w:tcPr>
            <w:tcW w:type="dxa" w:w="3024"/>
            <w:vAlign w:val="top"/>
          </w:tcPr>
          <w:p>
            <w:r/>
            <w:r>
              <w:rPr>
                <w:b w:val="0"/>
              </w:rPr>
              <w:t>Positive viable horizon</w:t>
            </w:r>
          </w:p>
        </w:tc>
        <w:tc>
          <w:tcPr>
            <w:tcW w:type="dxa" w:w="7920"/>
            <w:vAlign w:val="top"/>
          </w:tcPr>
          <w:p>
            <w:r/>
            <w:r>
              <w:rPr>
                <w:b w:val="0"/>
              </w:rPr>
              <w:t>For a viable domain under nonzero baseline deterioration, the horizon must be positive; horizon collapse indicates domain failure or immediate boundary condition.</w:t>
            </w:r>
          </w:p>
        </w:tc>
      </w:tr>
      <w:tr>
        <w:tc>
          <w:tcPr>
            <w:tcW w:type="dxa" w:w="3024"/>
            <w:vAlign w:val="top"/>
          </w:tcPr>
          <w:p>
            <w:r/>
            <w:r>
              <w:rPr>
                <w:b w:val="0"/>
              </w:rPr>
              <w:t>No governing-domain assignment by H alone</w:t>
            </w:r>
          </w:p>
        </w:tc>
        <w:tc>
          <w:tcPr>
            <w:tcW w:type="dxa" w:w="7920"/>
            <w:vAlign w:val="top"/>
          </w:tcPr>
          <w:p>
            <w:r/>
            <w:r>
              <w:rPr>
                <w:b w:val="0"/>
              </w:rPr>
              <w:t>H computes horizon structure. It may identify threat candidates, but governing-domain construction belongs to G.</w:t>
            </w:r>
          </w:p>
        </w:tc>
      </w:tr>
    </w:tbl>
    <w:p/>
    <w:p>
      <w:pPr>
        <w:pStyle w:val="Heading2"/>
      </w:pPr>
      <w:r>
        <w:t>4.4 G Governing-Domain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Non-empty governing set</w:t>
            </w:r>
          </w:p>
        </w:tc>
        <w:tc>
          <w:tcPr>
            <w:tcW w:type="dxa" w:w="7920"/>
            <w:vAlign w:val="top"/>
          </w:tcPr>
          <w:p>
            <w:r/>
            <w:r>
              <w:rPr>
                <w:b w:val="0"/>
              </w:rPr>
              <w:t>The governing-domain set must contain at least one domain for every nontrivial decision episode.</w:t>
            </w:r>
          </w:p>
        </w:tc>
      </w:tr>
      <w:tr>
        <w:tc>
          <w:tcPr>
            <w:tcW w:type="dxa" w:w="3024"/>
            <w:vAlign w:val="top"/>
          </w:tcPr>
          <w:p>
            <w:r/>
            <w:r>
              <w:rPr>
                <w:b w:val="0"/>
              </w:rPr>
              <w:t>Minimum-threat inclusion</w:t>
            </w:r>
          </w:p>
        </w:tc>
        <w:tc>
          <w:tcPr>
            <w:tcW w:type="dxa" w:w="7920"/>
            <w:vAlign w:val="top"/>
          </w:tcPr>
          <w:p>
            <w:r/>
            <w:r>
              <w:rPr>
                <w:b w:val="0"/>
              </w:rPr>
              <w:t>The most compressed or most failure-relevant domain must be considered for inclusion; exclusion requires an explicit architectural reason.</w:t>
            </w:r>
          </w:p>
        </w:tc>
      </w:tr>
      <w:tr>
        <w:tc>
          <w:tcPr>
            <w:tcW w:type="dxa" w:w="3024"/>
            <w:vAlign w:val="top"/>
          </w:tcPr>
          <w:p>
            <w:r/>
            <w:r>
              <w:rPr>
                <w:b w:val="0"/>
              </w:rPr>
              <w:t>Multi-domain expansion</w:t>
            </w:r>
          </w:p>
        </w:tc>
        <w:tc>
          <w:tcPr>
            <w:tcW w:type="dxa" w:w="7920"/>
            <w:vAlign w:val="top"/>
          </w:tcPr>
          <w:p>
            <w:r/>
            <w:r>
              <w:rPr>
                <w:b w:val="0"/>
              </w:rPr>
              <w:t>When multiple domains are near threshold, dependency-coupled, or non-substitutable in the current case, G must allow governing-set expansion.</w:t>
            </w:r>
          </w:p>
        </w:tc>
      </w:tr>
      <w:tr>
        <w:tc>
          <w:tcPr>
            <w:tcW w:type="dxa" w:w="3024"/>
            <w:vAlign w:val="top"/>
          </w:tcPr>
          <w:p>
            <w:r/>
            <w:r>
              <w:rPr>
                <w:b w:val="0"/>
              </w:rPr>
              <w:t>No scalar substitution</w:t>
            </w:r>
          </w:p>
        </w:tc>
        <w:tc>
          <w:tcPr>
            <w:tcW w:type="dxa" w:w="7920"/>
            <w:vAlign w:val="top"/>
          </w:tcPr>
          <w:p>
            <w:r/>
            <w:r>
              <w:rPr>
                <w:b w:val="0"/>
              </w:rPr>
              <w:t>G cannot permit a gain in a non-governing convenience domain to compensate for collapse in a governing domain.</w:t>
            </w:r>
          </w:p>
        </w:tc>
      </w:tr>
    </w:tbl>
    <w:p/>
    <w:p>
      <w:pPr>
        <w:pStyle w:val="Heading2"/>
      </w:pPr>
      <w:r>
        <w:t>4.5 ℛ Regime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Ordered severity</w:t>
            </w:r>
          </w:p>
        </w:tc>
        <w:tc>
          <w:tcPr>
            <w:tcW w:type="dxa" w:w="7920"/>
            <w:vAlign w:val="top"/>
          </w:tcPr>
          <w:p>
            <w:r/>
            <w:r>
              <w:rPr>
                <w:b w:val="0"/>
              </w:rPr>
              <w:t>Regime classes must preserve an ordered urgency relation, such as routine/mission, stabilization, survival, crisis/existential, or domain-specific equivalents.</w:t>
            </w:r>
          </w:p>
        </w:tc>
      </w:tr>
      <w:tr>
        <w:tc>
          <w:tcPr>
            <w:tcW w:type="dxa" w:w="3024"/>
            <w:vAlign w:val="top"/>
          </w:tcPr>
          <w:p>
            <w:r/>
            <w:r>
              <w:rPr>
                <w:b w:val="0"/>
              </w:rPr>
              <w:t>No pressure-blind de-escalation</w:t>
            </w:r>
          </w:p>
        </w:tc>
        <w:tc>
          <w:tcPr>
            <w:tcW w:type="dxa" w:w="7920"/>
            <w:vAlign w:val="top"/>
          </w:tcPr>
          <w:p>
            <w:r/>
            <w:r>
              <w:rPr>
                <w:b w:val="0"/>
              </w:rPr>
              <w:t>A regime must not de-escalate while relevant pressure and collapse-horizon indicators worsen, unless countervailing state improvement is explicitly represented.</w:t>
            </w:r>
          </w:p>
        </w:tc>
      </w:tr>
      <w:tr>
        <w:tc>
          <w:tcPr>
            <w:tcW w:type="dxa" w:w="3024"/>
            <w:vAlign w:val="top"/>
          </w:tcPr>
          <w:p>
            <w:r/>
            <w:r>
              <w:rPr>
                <w:b w:val="0"/>
              </w:rPr>
              <w:t>Regime affects generation, not validity</w:t>
            </w:r>
          </w:p>
        </w:tc>
        <w:tc>
          <w:tcPr>
            <w:tcW w:type="dxa" w:w="7920"/>
            <w:vAlign w:val="top"/>
          </w:tcPr>
          <w:p>
            <w:r/>
            <w:r>
              <w:rPr>
                <w:b w:val="0"/>
              </w:rPr>
              <w:t>Regime may bias candidate generation, depth, urgency, and fallback posture. It must not by itself make an invalid candidate valid.</w:t>
            </w:r>
          </w:p>
        </w:tc>
      </w:tr>
    </w:tbl>
    <w:p/>
    <w:p>
      <w:pPr>
        <w:pStyle w:val="Heading2"/>
      </w:pPr>
      <w:r>
        <w:t>4.6 Graph Layer / Seed Substrate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Reachability discipline</w:t>
            </w:r>
          </w:p>
        </w:tc>
        <w:tc>
          <w:tcPr>
            <w:tcW w:type="dxa" w:w="7920"/>
            <w:vAlign w:val="top"/>
          </w:tcPr>
          <w:p>
            <w:r/>
            <w:r>
              <w:rPr>
                <w:b w:val="0"/>
              </w:rPr>
              <w:t>Candidate families must be generated from reachable actions, transformations, tools, routes, relations, or policy seeds. Unreachable candidates are not valid options.</w:t>
            </w:r>
          </w:p>
        </w:tc>
      </w:tr>
      <w:tr>
        <w:tc>
          <w:tcPr>
            <w:tcW w:type="dxa" w:w="3024"/>
            <w:vAlign w:val="top"/>
          </w:tcPr>
          <w:p>
            <w:r/>
            <w:r>
              <w:rPr>
                <w:b w:val="0"/>
              </w:rPr>
              <w:t>Graph-bounded expansion</w:t>
            </w:r>
          </w:p>
        </w:tc>
        <w:tc>
          <w:tcPr>
            <w:tcW w:type="dxa" w:w="7920"/>
            <w:vAlign w:val="top"/>
          </w:tcPr>
          <w:p>
            <w:r/>
            <w:r>
              <w:rPr>
                <w:b w:val="0"/>
              </w:rPr>
              <w:t>Expansion must be bounded. The graph layer may expand candidate space, but cannot become unbounded search without stopping rules.</w:t>
            </w:r>
          </w:p>
        </w:tc>
      </w:tr>
      <w:tr>
        <w:tc>
          <w:tcPr>
            <w:tcW w:type="dxa" w:w="3024"/>
            <w:vAlign w:val="top"/>
          </w:tcPr>
          <w:p>
            <w:r/>
            <w:r>
              <w:rPr>
                <w:b w:val="0"/>
              </w:rPr>
              <w:t>Representation of missing families</w:t>
            </w:r>
          </w:p>
        </w:tc>
        <w:tc>
          <w:tcPr>
            <w:tcW w:type="dxa" w:w="7920"/>
            <w:vAlign w:val="top"/>
          </w:tcPr>
          <w:p>
            <w:r/>
            <w:r>
              <w:rPr>
                <w:b w:val="0"/>
              </w:rPr>
              <w:t>The graph layer must support detection of materially missing families such as wait, escalate, verify, rollback, repair, no-action, or guarded execution.</w:t>
            </w:r>
          </w:p>
        </w:tc>
      </w:tr>
    </w:tbl>
    <w:p/>
    <w:p>
      <w:pPr>
        <w:pStyle w:val="Heading2"/>
      </w:pPr>
      <w:r>
        <w:t>4.7 Π Candidate Construction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Finite candidate family set</w:t>
            </w:r>
          </w:p>
        </w:tc>
        <w:tc>
          <w:tcPr>
            <w:tcW w:type="dxa" w:w="7920"/>
            <w:vAlign w:val="top"/>
          </w:tcPr>
          <w:p>
            <w:r/>
            <w:r>
              <w:rPr>
                <w:b w:val="0"/>
              </w:rPr>
              <w:t>Π must produce a finite bounded set of candidate policies or candidate families.</w:t>
            </w:r>
          </w:p>
        </w:tc>
      </w:tr>
      <w:tr>
        <w:tc>
          <w:tcPr>
            <w:tcW w:type="dxa" w:w="3024"/>
            <w:vAlign w:val="top"/>
          </w:tcPr>
          <w:p>
            <w:r/>
            <w:r>
              <w:rPr>
                <w:b w:val="0"/>
              </w:rPr>
              <w:t>Policy-family visibility</w:t>
            </w:r>
          </w:p>
        </w:tc>
        <w:tc>
          <w:tcPr>
            <w:tcW w:type="dxa" w:w="7920"/>
            <w:vAlign w:val="top"/>
          </w:tcPr>
          <w:p>
            <w:r/>
            <w:r>
              <w:rPr>
                <w:b w:val="0"/>
              </w:rPr>
              <w:t>Π should represent candidate families, not only isolated actions, when omission of a family would alter the downstream decision.</w:t>
            </w:r>
          </w:p>
        </w:tc>
      </w:tr>
      <w:tr>
        <w:tc>
          <w:tcPr>
            <w:tcW w:type="dxa" w:w="3024"/>
            <w:vAlign w:val="top"/>
          </w:tcPr>
          <w:p>
            <w:r/>
            <w:r>
              <w:rPr>
                <w:b w:val="0"/>
              </w:rPr>
              <w:t>No hidden filtering</w:t>
            </w:r>
          </w:p>
        </w:tc>
        <w:tc>
          <w:tcPr>
            <w:tcW w:type="dxa" w:w="7920"/>
            <w:vAlign w:val="top"/>
          </w:tcPr>
          <w:p>
            <w:r/>
            <w:r>
              <w:rPr>
                <w:b w:val="0"/>
              </w:rPr>
              <w:t>Π constructs candidates. It must not silently perform downstream constraints, domain framing, adequacy, or final selection under another name.</w:t>
            </w:r>
          </w:p>
        </w:tc>
      </w:tr>
    </w:tbl>
    <w:p/>
    <w:p>
      <w:pPr>
        <w:pStyle w:val="Heading2"/>
      </w:pPr>
      <w:r>
        <w:t>4.8 Π Completeness Validation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Material sufficiency</w:t>
            </w:r>
          </w:p>
        </w:tc>
        <w:tc>
          <w:tcPr>
            <w:tcW w:type="dxa" w:w="7920"/>
            <w:vAlign w:val="top"/>
          </w:tcPr>
          <w:p>
            <w:r/>
            <w:r>
              <w:rPr>
                <w:b w:val="0"/>
              </w:rPr>
              <w:t>Before constraints and selection, the system must evaluate whether the candidate-family set is materially sufficient for the problem.</w:t>
            </w:r>
          </w:p>
        </w:tc>
      </w:tr>
      <w:tr>
        <w:tc>
          <w:tcPr>
            <w:tcW w:type="dxa" w:w="3024"/>
            <w:vAlign w:val="top"/>
          </w:tcPr>
          <w:p>
            <w:r/>
            <w:r>
              <w:rPr>
                <w:b w:val="0"/>
              </w:rPr>
              <w:t>Missing-family stop condition</w:t>
            </w:r>
          </w:p>
        </w:tc>
        <w:tc>
          <w:tcPr>
            <w:tcW w:type="dxa" w:w="7920"/>
            <w:vAlign w:val="top"/>
          </w:tcPr>
          <w:p>
            <w:r/>
            <w:r>
              <w:rPr>
                <w:b w:val="0"/>
              </w:rPr>
              <w:t>If a missing candidate family could change the viable decision, downstream selection must stop, request more construction, or explicitly record an omission waiver.</w:t>
            </w:r>
          </w:p>
        </w:tc>
      </w:tr>
      <w:tr>
        <w:tc>
          <w:tcPr>
            <w:tcW w:type="dxa" w:w="3024"/>
            <w:vAlign w:val="top"/>
          </w:tcPr>
          <w:p>
            <w:r/>
            <w:r>
              <w:rPr>
                <w:b w:val="0"/>
              </w:rPr>
              <w:t>No selection over invalid sets</w:t>
            </w:r>
          </w:p>
        </w:tc>
        <w:tc>
          <w:tcPr>
            <w:tcW w:type="dxa" w:w="7920"/>
            <w:vAlign w:val="top"/>
          </w:tcPr>
          <w:p>
            <w:r/>
            <w:r>
              <w:rPr>
                <w:b w:val="0"/>
              </w:rPr>
              <w:t>Σ may not select from a candidate set that failed material completeness validation.</w:t>
            </w:r>
          </w:p>
        </w:tc>
      </w:tr>
    </w:tbl>
    <w:p/>
    <w:p>
      <w:pPr>
        <w:pStyle w:val="Heading2"/>
      </w:pPr>
      <w:r>
        <w:t>4.9 Constraints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Constraints are separate from construction</w:t>
            </w:r>
          </w:p>
        </w:tc>
        <w:tc>
          <w:tcPr>
            <w:tcW w:type="dxa" w:w="7920"/>
            <w:vAlign w:val="top"/>
          </w:tcPr>
          <w:p>
            <w:r/>
            <w:r>
              <w:rPr>
                <w:b w:val="0"/>
              </w:rPr>
              <w:t>Feasibility, permission, authority, role, physical, legal, data-access, and hard system constraints are handled after candidate construction and completeness validation.</w:t>
            </w:r>
          </w:p>
        </w:tc>
      </w:tr>
      <w:tr>
        <w:tc>
          <w:tcPr>
            <w:tcW w:type="dxa" w:w="3024"/>
            <w:vAlign w:val="top"/>
          </w:tcPr>
          <w:p>
            <w:r/>
            <w:r>
              <w:rPr>
                <w:b w:val="0"/>
              </w:rPr>
              <w:t>Constraints are not adequacy</w:t>
            </w:r>
          </w:p>
        </w:tc>
        <w:tc>
          <w:tcPr>
            <w:tcW w:type="dxa" w:w="7920"/>
            <w:vAlign w:val="top"/>
          </w:tcPr>
          <w:p>
            <w:r/>
            <w:r>
              <w:rPr>
                <w:b w:val="0"/>
              </w:rPr>
              <w:t>A candidate that passes constraints is merely permitted or feasible. It is not thereby adequate, viable, or selected.</w:t>
            </w:r>
          </w:p>
        </w:tc>
      </w:tr>
      <w:tr>
        <w:tc>
          <w:tcPr>
            <w:tcW w:type="dxa" w:w="3024"/>
            <w:vAlign w:val="top"/>
          </w:tcPr>
          <w:p>
            <w:r/>
            <w:r>
              <w:rPr>
                <w:b w:val="0"/>
              </w:rPr>
              <w:t>Unknown hard constraint is risk-bearing</w:t>
            </w:r>
          </w:p>
        </w:tc>
        <w:tc>
          <w:tcPr>
            <w:tcW w:type="dxa" w:w="7920"/>
            <w:vAlign w:val="top"/>
          </w:tcPr>
          <w:p>
            <w:r/>
            <w:r>
              <w:rPr>
                <w:b w:val="0"/>
              </w:rPr>
              <w:t>Unknown permission, reversibility, legality, authority, or feasibility should block, defer, or escalate in high-impact contexts.</w:t>
            </w:r>
          </w:p>
        </w:tc>
      </w:tr>
    </w:tbl>
    <w:p/>
    <w:p>
      <w:pPr>
        <w:pStyle w:val="Heading2"/>
      </w:pPr>
      <w:r>
        <w:t>4.10 Domain Framing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Explicit preservation target</w:t>
            </w:r>
          </w:p>
        </w:tc>
        <w:tc>
          <w:tcPr>
            <w:tcW w:type="dxa" w:w="7920"/>
            <w:vAlign w:val="top"/>
          </w:tcPr>
          <w:p>
            <w:r/>
            <w:r>
              <w:rPr>
                <w:b w:val="0"/>
              </w:rPr>
              <w:t>Before adequacy and selection, the system must state what is being preserved, restored, protected, or bounded.</w:t>
            </w:r>
          </w:p>
        </w:tc>
      </w:tr>
      <w:tr>
        <w:tc>
          <w:tcPr>
            <w:tcW w:type="dxa" w:w="3024"/>
            <w:vAlign w:val="top"/>
          </w:tcPr>
          <w:p>
            <w:r/>
            <w:r>
              <w:rPr>
                <w:b w:val="0"/>
              </w:rPr>
              <w:t>No generic “success” target</w:t>
            </w:r>
          </w:p>
        </w:tc>
        <w:tc>
          <w:tcPr>
            <w:tcW w:type="dxa" w:w="7920"/>
            <w:vAlign w:val="top"/>
          </w:tcPr>
          <w:p>
            <w:r/>
            <w:r>
              <w:rPr>
                <w:b w:val="0"/>
              </w:rPr>
              <w:t>The target cannot be merely task completion, local reward, visible output, or throughput unless that is the actual governing-domain objective.</w:t>
            </w:r>
          </w:p>
        </w:tc>
      </w:tr>
      <w:tr>
        <w:tc>
          <w:tcPr>
            <w:tcW w:type="dxa" w:w="3024"/>
            <w:vAlign w:val="top"/>
          </w:tcPr>
          <w:p>
            <w:r/>
            <w:r>
              <w:rPr>
                <w:b w:val="0"/>
              </w:rPr>
              <w:t>Frame controls evaluation</w:t>
            </w:r>
          </w:p>
        </w:tc>
        <w:tc>
          <w:tcPr>
            <w:tcW w:type="dxa" w:w="7920"/>
            <w:vAlign w:val="top"/>
          </w:tcPr>
          <w:p>
            <w:r/>
            <w:r>
              <w:rPr>
                <w:b w:val="0"/>
              </w:rPr>
              <w:t>Adequacy and Σ selection must be evaluated relative to the declared frame; changing the frame changes the decision problem.</w:t>
            </w:r>
          </w:p>
        </w:tc>
      </w:tr>
    </w:tbl>
    <w:p/>
    <w:p>
      <w:pPr>
        <w:pStyle w:val="Heading2"/>
      </w:pPr>
      <w:r>
        <w:t>4.11 Adequacy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Recovery-corridor sufficiency</w:t>
            </w:r>
          </w:p>
        </w:tc>
        <w:tc>
          <w:tcPr>
            <w:tcW w:type="dxa" w:w="7920"/>
            <w:vAlign w:val="top"/>
          </w:tcPr>
          <w:p>
            <w:r/>
            <w:r>
              <w:rPr>
                <w:b w:val="0"/>
              </w:rPr>
              <w:t>A candidate is adequate only if it preserves or restores the relevant corridor enough to continue, recover, verify, or escalate as required.</w:t>
            </w:r>
          </w:p>
        </w:tc>
      </w:tr>
      <w:tr>
        <w:tc>
          <w:tcPr>
            <w:tcW w:type="dxa" w:w="3024"/>
            <w:vAlign w:val="top"/>
          </w:tcPr>
          <w:p>
            <w:r/>
            <w:r>
              <w:rPr>
                <w:b w:val="0"/>
              </w:rPr>
              <w:t>Feasible is not adequate</w:t>
            </w:r>
          </w:p>
        </w:tc>
        <w:tc>
          <w:tcPr>
            <w:tcW w:type="dxa" w:w="7920"/>
            <w:vAlign w:val="top"/>
          </w:tcPr>
          <w:p>
            <w:r/>
            <w:r>
              <w:rPr>
                <w:b w:val="0"/>
              </w:rPr>
              <w:t>A candidate can be feasible and still inadequate because it destroys recovery, auditability, authority integrity, or governing-domain protection.</w:t>
            </w:r>
          </w:p>
        </w:tc>
      </w:tr>
      <w:tr>
        <w:tc>
          <w:tcPr>
            <w:tcW w:type="dxa" w:w="3024"/>
            <w:vAlign w:val="top"/>
          </w:tcPr>
          <w:p>
            <w:r/>
            <w:r>
              <w:rPr>
                <w:b w:val="0"/>
              </w:rPr>
              <w:t>Two-sided error visibility</w:t>
            </w:r>
          </w:p>
        </w:tc>
        <w:tc>
          <w:tcPr>
            <w:tcW w:type="dxa" w:w="7920"/>
            <w:vAlign w:val="top"/>
          </w:tcPr>
          <w:p>
            <w:r/>
            <w:r>
              <w:rPr>
                <w:b w:val="0"/>
              </w:rPr>
              <w:t>Adequacy should track both over-action and under-action harms when both are material.</w:t>
            </w:r>
          </w:p>
        </w:tc>
      </w:tr>
    </w:tbl>
    <w:p/>
    <w:p>
      <w:pPr>
        <w:pStyle w:val="Heading2"/>
      </w:pPr>
      <w:r>
        <w:t>4.12 Σ Selection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Upstream-valid inputs only</w:t>
            </w:r>
          </w:p>
        </w:tc>
        <w:tc>
          <w:tcPr>
            <w:tcW w:type="dxa" w:w="7920"/>
            <w:vAlign w:val="top"/>
          </w:tcPr>
          <w:p>
            <w:r/>
            <w:r>
              <w:rPr>
                <w:b w:val="0"/>
              </w:rPr>
              <w:t>Σ operates only over candidates that have passed construction, completeness, constraints, framing, and adequacy checks.</w:t>
            </w:r>
          </w:p>
        </w:tc>
      </w:tr>
      <w:tr>
        <w:tc>
          <w:tcPr>
            <w:tcW w:type="dxa" w:w="3024"/>
            <w:vAlign w:val="top"/>
          </w:tcPr>
          <w:p>
            <w:r/>
            <w:r>
              <w:rPr>
                <w:b w:val="0"/>
              </w:rPr>
              <w:t>Non-scalar selection</w:t>
            </w:r>
          </w:p>
        </w:tc>
        <w:tc>
          <w:tcPr>
            <w:tcW w:type="dxa" w:w="7920"/>
            <w:vAlign w:val="top"/>
          </w:tcPr>
          <w:p>
            <w:r/>
            <w:r>
              <w:rPr>
                <w:b w:val="0"/>
              </w:rPr>
              <w:t>Σ must preserve non-substitutable domain structure. It may compare candidates, but cannot reduce governing-domain viability to a scalar utility objective.</w:t>
            </w:r>
          </w:p>
        </w:tc>
      </w:tr>
      <w:tr>
        <w:tc>
          <w:tcPr>
            <w:tcW w:type="dxa" w:w="3024"/>
            <w:vAlign w:val="top"/>
          </w:tcPr>
          <w:p>
            <w:r/>
            <w:r>
              <w:rPr>
                <w:b w:val="0"/>
              </w:rPr>
              <w:t>No collapse-laundering</w:t>
            </w:r>
          </w:p>
        </w:tc>
        <w:tc>
          <w:tcPr>
            <w:tcW w:type="dxa" w:w="7920"/>
            <w:vAlign w:val="top"/>
          </w:tcPr>
          <w:p>
            <w:r/>
            <w:r>
              <w:rPr>
                <w:b w:val="0"/>
              </w:rPr>
              <w:t>Σ must not admit a candidate that collapses a governing domain merely because it improves another metric or produces local task success.</w:t>
            </w:r>
          </w:p>
        </w:tc>
      </w:tr>
      <w:tr>
        <w:tc>
          <w:tcPr>
            <w:tcW w:type="dxa" w:w="3024"/>
            <w:vAlign w:val="top"/>
          </w:tcPr>
          <w:p>
            <w:r/>
            <w:r>
              <w:rPr>
                <w:b w:val="0"/>
              </w:rPr>
              <w:t>Non-dominated discipline</w:t>
            </w:r>
          </w:p>
        </w:tc>
        <w:tc>
          <w:tcPr>
            <w:tcW w:type="dxa" w:w="7920"/>
            <w:vAlign w:val="top"/>
          </w:tcPr>
          <w:p>
            <w:r/>
            <w:r>
              <w:rPr>
                <w:b w:val="0"/>
              </w:rPr>
              <w:t>When several upstream-valid candidates remain, Σ should select or preserve candidates according to governing-domain discipline rather than ordinary reward maximization.</w:t>
            </w:r>
          </w:p>
        </w:tc>
      </w:tr>
    </w:tbl>
    <w:p/>
    <w:p>
      <w:pPr>
        <w:pStyle w:val="Heading2"/>
      </w:pPr>
      <w:r>
        <w:t>4.13 ε Realization / Execution Boundary Invariants</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024"/>
            <w:shd w:fill="111827"/>
          </w:tcPr>
          <w:p>
            <w:pPr>
              <w:spacing w:after="0"/>
            </w:pPr>
            <w:r/>
            <w:r>
              <w:rPr>
                <w:b/>
                <w:color w:val="FFFFFF"/>
              </w:rPr>
              <w:t>Invariant</w:t>
            </w:r>
          </w:p>
        </w:tc>
        <w:tc>
          <w:tcPr>
            <w:tcW w:type="dxa" w:w="7920"/>
            <w:shd w:fill="111827"/>
          </w:tcPr>
          <w:p>
            <w:pPr>
              <w:spacing w:after="0"/>
            </w:pPr>
            <w:r/>
            <w:r>
              <w:rPr>
                <w:b/>
                <w:color w:val="FFFFFF"/>
              </w:rPr>
              <w:t>Requirement</w:t>
            </w:r>
          </w:p>
        </w:tc>
      </w:tr>
      <w:tr>
        <w:tc>
          <w:tcPr>
            <w:tcW w:type="dxa" w:w="3024"/>
            <w:vAlign w:val="top"/>
          </w:tcPr>
          <w:p>
            <w:r/>
            <w:r>
              <w:rPr>
                <w:b w:val="0"/>
              </w:rPr>
              <w:t>Bounded realization</w:t>
            </w:r>
          </w:p>
        </w:tc>
        <w:tc>
          <w:tcPr>
            <w:tcW w:type="dxa" w:w="7920"/>
            <w:vAlign w:val="top"/>
          </w:tcPr>
          <w:p>
            <w:r/>
            <w:r>
              <w:rPr>
                <w:b w:val="0"/>
              </w:rPr>
              <w:t>ε must realize only an upstream-valid candidate, under the scope and guardrails actually authorized.</w:t>
            </w:r>
          </w:p>
        </w:tc>
      </w:tr>
      <w:tr>
        <w:tc>
          <w:tcPr>
            <w:tcW w:type="dxa" w:w="3024"/>
            <w:vAlign w:val="top"/>
          </w:tcPr>
          <w:p>
            <w:r/>
            <w:r>
              <w:rPr>
                <w:b w:val="0"/>
              </w:rPr>
              <w:t>Traceable nondeterminism allowed</w:t>
            </w:r>
          </w:p>
        </w:tc>
        <w:tc>
          <w:tcPr>
            <w:tcW w:type="dxa" w:w="7920"/>
            <w:vAlign w:val="top"/>
          </w:tcPr>
          <w:p>
            <w:r/>
            <w:r>
              <w:rPr>
                <w:b w:val="0"/>
              </w:rPr>
              <w:t>ε need not be strictly deterministic in all implementations. Stochastic, habitual, institutional, or priority-based realization may be valid if bounded, traceable, and non-scalar.</w:t>
            </w:r>
          </w:p>
        </w:tc>
      </w:tr>
      <w:tr>
        <w:tc>
          <w:tcPr>
            <w:tcW w:type="dxa" w:w="3024"/>
            <w:vAlign w:val="top"/>
          </w:tcPr>
          <w:p>
            <w:r/>
            <w:r>
              <w:rPr>
                <w:b w:val="0"/>
              </w:rPr>
              <w:t>Execution is not reasoning</w:t>
            </w:r>
          </w:p>
        </w:tc>
        <w:tc>
          <w:tcPr>
            <w:tcW w:type="dxa" w:w="7920"/>
            <w:vAlign w:val="top"/>
          </w:tcPr>
          <w:p>
            <w:r/>
            <w:r>
              <w:rPr>
                <w:b w:val="0"/>
              </w:rPr>
              <w:t>Judgment validity and execution validity are separate. Tool acceptance, workflow submission, or model confidence is not completion.</w:t>
            </w:r>
          </w:p>
        </w:tc>
      </w:tr>
      <w:tr>
        <w:tc>
          <w:tcPr>
            <w:tcW w:type="dxa" w:w="3024"/>
            <w:vAlign w:val="top"/>
          </w:tcPr>
          <w:p>
            <w:r/>
            <w:r>
              <w:rPr>
                <w:b w:val="0"/>
              </w:rPr>
              <w:t>Completion verification</w:t>
            </w:r>
          </w:p>
        </w:tc>
        <w:tc>
          <w:tcPr>
            <w:tcW w:type="dxa" w:w="7920"/>
            <w:vAlign w:val="top"/>
          </w:tcPr>
          <w:p>
            <w:r/>
            <w:r>
              <w:rPr>
                <w:b w:val="0"/>
              </w:rPr>
              <w:t>For state-changing or asynchronous actions, ε must distinguish proposed, submitted, accepted, pending, completed, failed, reversed, and escalated states.</w:t>
            </w:r>
          </w:p>
        </w:tc>
      </w:tr>
      <w:tr>
        <w:tc>
          <w:tcPr>
            <w:tcW w:type="dxa" w:w="3024"/>
            <w:vAlign w:val="top"/>
          </w:tcPr>
          <w:p>
            <w:r/>
            <w:r>
              <w:rPr>
                <w:b w:val="0"/>
              </w:rPr>
              <w:t>Abort and return</w:t>
            </w:r>
          </w:p>
        </w:tc>
        <w:tc>
          <w:tcPr>
            <w:tcW w:type="dxa" w:w="7920"/>
            <w:vAlign w:val="top"/>
          </w:tcPr>
          <w:p>
            <w:r/>
            <w:r>
              <w:rPr>
                <w:b w:val="0"/>
              </w:rPr>
              <w:t>A valid execution layer must support stop, abort, return, retry, escalation, fallback, or degraded-mode behavior where required by the frame.</w:t>
            </w:r>
          </w:p>
        </w:tc>
      </w:tr>
    </w:tbl>
    <w:p/>
    <w:p>
      <w:pPr>
        <w:pStyle w:val="Heading1"/>
      </w:pPr>
      <w:r>
        <w:t>5. Simulator, Benchmark, and Runtime Use</w:t>
      </w:r>
    </w:p>
    <w:p>
      <w:r>
        <w:t>These invariants should be used as an implementation checklist for PV-PP simulators, benchmark dossiers, agent-governance runtimes, audit tools, and future proofs. A benchmark that produces a superficially PV-PP-like behavior but violates candidate completeness, adequacy, or no-downstream-repair discipline should not be treated as validating the current architecture.</w:t>
      </w:r>
    </w:p>
    <w:tbl>
      <w:tblPr>
        <w:tblStyle w:val="TableGrid"/>
        <w:tblW w:type="auto" w:w="0"/>
        <w:jc w:val="center"/>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5040"/>
        <w:gridCol w:w="5040"/>
      </w:tblGrid>
      <w:tr>
        <w:tc>
          <w:tcPr>
            <w:tcW w:type="dxa" w:w="3168"/>
            <w:shd w:fill="111827"/>
          </w:tcPr>
          <w:p>
            <w:pPr>
              <w:spacing w:after="0"/>
            </w:pPr>
            <w:r/>
            <w:r>
              <w:rPr>
                <w:b/>
                <w:color w:val="FFFFFF"/>
              </w:rPr>
              <w:t>Use case</w:t>
            </w:r>
          </w:p>
        </w:tc>
        <w:tc>
          <w:tcPr>
            <w:tcW w:type="dxa" w:w="7776"/>
            <w:shd w:fill="111827"/>
          </w:tcPr>
          <w:p>
            <w:pPr>
              <w:spacing w:after="0"/>
            </w:pPr>
            <w:r/>
            <w:r>
              <w:rPr>
                <w:b/>
                <w:color w:val="FFFFFF"/>
              </w:rPr>
              <w:t>Application</w:t>
            </w:r>
          </w:p>
        </w:tc>
      </w:tr>
      <w:tr>
        <w:tc>
          <w:tcPr>
            <w:tcW w:type="dxa" w:w="3168"/>
            <w:vAlign w:val="top"/>
          </w:tcPr>
          <w:p>
            <w:r/>
            <w:r>
              <w:rPr>
                <w:b w:val="0"/>
              </w:rPr>
              <w:t>Simulator implementation</w:t>
            </w:r>
          </w:p>
        </w:tc>
        <w:tc>
          <w:tcPr>
            <w:tcW w:type="dxa" w:w="7776"/>
            <w:vAlign w:val="top"/>
          </w:tcPr>
          <w:p>
            <w:r/>
            <w:r>
              <w:rPr>
                <w:b w:val="0"/>
              </w:rPr>
              <w:t>Check that each stage produces the correct intermediate object and does not silently combine stages.</w:t>
            </w:r>
          </w:p>
        </w:tc>
      </w:tr>
      <w:tr>
        <w:tc>
          <w:tcPr>
            <w:tcW w:type="dxa" w:w="3168"/>
            <w:vAlign w:val="top"/>
          </w:tcPr>
          <w:p>
            <w:r/>
            <w:r>
              <w:rPr>
                <w:b w:val="0"/>
              </w:rPr>
              <w:t>Benchmark review</w:t>
            </w:r>
          </w:p>
        </w:tc>
        <w:tc>
          <w:tcPr>
            <w:tcW w:type="dxa" w:w="7776"/>
            <w:vAlign w:val="top"/>
          </w:tcPr>
          <w:p>
            <w:r/>
            <w:r>
              <w:rPr>
                <w:b w:val="0"/>
              </w:rPr>
              <w:t>Record which invariants are tested, assumed, omitted, or violated.</w:t>
            </w:r>
          </w:p>
        </w:tc>
      </w:tr>
      <w:tr>
        <w:tc>
          <w:tcPr>
            <w:tcW w:type="dxa" w:w="3168"/>
            <w:vAlign w:val="top"/>
          </w:tcPr>
          <w:p>
            <w:r/>
            <w:r>
              <w:rPr>
                <w:b w:val="0"/>
              </w:rPr>
              <w:t>Agent runtime mapping</w:t>
            </w:r>
          </w:p>
        </w:tc>
        <w:tc>
          <w:tcPr>
            <w:tcW w:type="dxa" w:w="7776"/>
            <w:vAlign w:val="top"/>
          </w:tcPr>
          <w:p>
            <w:r/>
            <w:r>
              <w:rPr>
                <w:b w:val="0"/>
              </w:rPr>
              <w:t>Use the invariants to distinguish tool availability from action viability.</w:t>
            </w:r>
          </w:p>
        </w:tc>
      </w:tr>
      <w:tr>
        <w:tc>
          <w:tcPr>
            <w:tcW w:type="dxa" w:w="3168"/>
            <w:vAlign w:val="top"/>
          </w:tcPr>
          <w:p>
            <w:r/>
            <w:r>
              <w:rPr>
                <w:b w:val="0"/>
              </w:rPr>
              <w:t>Proof work</w:t>
            </w:r>
          </w:p>
        </w:tc>
        <w:tc>
          <w:tcPr>
            <w:tcW w:type="dxa" w:w="7776"/>
            <w:vAlign w:val="top"/>
          </w:tcPr>
          <w:p>
            <w:r/>
            <w:r>
              <w:rPr>
                <w:b w:val="0"/>
              </w:rPr>
              <w:t>Use invariant violations to detect hidden scalarization, missing boundary conditions, or downstream repair.</w:t>
            </w:r>
          </w:p>
        </w:tc>
      </w:tr>
      <w:tr>
        <w:tc>
          <w:tcPr>
            <w:tcW w:type="dxa" w:w="3168"/>
            <w:vAlign w:val="top"/>
          </w:tcPr>
          <w:p>
            <w:r/>
            <w:r>
              <w:rPr>
                <w:b w:val="0"/>
              </w:rPr>
              <w:t>Document governance</w:t>
            </w:r>
          </w:p>
        </w:tc>
        <w:tc>
          <w:tcPr>
            <w:tcW w:type="dxa" w:w="7776"/>
            <w:vAlign w:val="top"/>
          </w:tcPr>
          <w:p>
            <w:r/>
            <w:r>
              <w:rPr>
                <w:b w:val="0"/>
              </w:rPr>
              <w:t>If a file defines an operator in conflict with these invariants, the owning operator file or stack-control document must govern.</w:t>
            </w:r>
          </w:p>
        </w:tc>
      </w:tr>
    </w:tbl>
    <w:p>
      <w:pPr>
        <w:pStyle w:val="Heading1"/>
      </w:pPr>
      <w:r>
        <w:t>6. Changes from v0.2</w:t>
      </w:r>
    </w:p>
    <w:p>
      <w:pPr/>
      <w:r>
        <w:t>Updated the governed stack to the current sequence: P_I(t) → Φ → H → G → ℛ → Graph Layer / seed substrate → Π → Π completeness validation → Constraints → Domain Framing → Adequacy → Σ → ε.</w:t>
      </w:r>
    </w:p>
    <w:p>
      <w:pPr/>
      <w:r>
        <w:t>Added invariants for G, Graph Layer / seed substrate, Π completeness validation, Constraints, Domain Framing, and Adequacy.</w:t>
      </w:r>
    </w:p>
    <w:p>
      <w:pPr/>
      <w:r>
        <w:t>Removed the older assumption that feasibility filtering is internal to Π; constraints now have a distinct post-completeness role.</w:t>
      </w:r>
    </w:p>
    <w:p>
      <w:pPr/>
      <w:r>
        <w:t>Replaced deterministic ε requirement with bounded, traceable, non-scalar realization; deterministic realization remains permitted but is not required.</w:t>
      </w:r>
    </w:p>
    <w:p>
      <w:pPr/>
      <w:r>
        <w:t>Added no-downstream-repair, traceability, memory typing, human/agent runtime relevance, completion verification, and recovery-corridor invariants.</w:t>
      </w:r>
    </w:p>
    <w:p>
      <w:pPr/>
      <w:r>
        <w:t>Clarified that H computes horizon structure while G owns governing-domain construction.</w:t>
      </w:r>
    </w:p>
    <w:p>
      <w:pPr>
        <w:pStyle w:val="Heading1"/>
      </w:pPr>
      <w:r>
        <w:t>7. Bottom Line</w:t>
      </w:r>
    </w:p>
    <w:p>
      <w:r>
        <w:t>The current PV-PP framework is not protected merely by naming the operators. It is protected by preserving the boundaries between operators. The most important invariant is architectural: once an upstream stage fails, downstream stages may not launder that failure into apparent validity. This document defines the minimum structural constraints required to keep PV-PP implementations non-scalar, domain-preserving, perception-bounded, candidate-complete, adequately framed, and execution-aware.</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PV-PP Framework Operator Invariants v0.2 | Architecture Constraint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11182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