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PV-PP Framework — Reader Guide</w:t>
      </w:r>
    </w:p>
    <w:p>
      <w:pPr>
        <w:jc w:val="center"/>
      </w:pPr>
      <w:r>
        <w:rPr>
          <w:i/>
          <w:sz w:val="22"/>
        </w:rPr>
        <w:t>Repository-facing orientation to the PV-PP framework materials</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shd w:fill="EDEDED"/>
            <w:vAlign w:val="top"/>
          </w:tcPr>
          <w:p>
            <w:pPr>
              <w:pStyle w:val="BodyText"/>
            </w:pPr>
            <w:r/>
            <w:r>
              <w:rPr>
                <w:b/>
              </w:rPr>
              <w:t>Version</w:t>
            </w:r>
          </w:p>
        </w:tc>
        <w:tc>
          <w:tcPr>
            <w:tcW w:type="dxa" w:w="4968"/>
            <w:vAlign w:val="top"/>
          </w:tcPr>
          <w:p>
            <w:pPr>
              <w:pStyle w:val="BodyText"/>
            </w:pPr>
            <w:r>
              <w:t>v0.4 Merged</w:t>
            </w:r>
            <w:r>
              <w:rPr>
                <w:b w:val="0"/>
              </w:rPr>
            </w:r>
          </w:p>
        </w:tc>
      </w:tr>
      <w:tr>
        <w:tc>
          <w:tcPr>
            <w:tcW w:type="dxa" w:w="4968"/>
            <w:shd w:fill="EDEDED"/>
            <w:vAlign w:val="top"/>
          </w:tcPr>
          <w:p>
            <w:pPr>
              <w:pStyle w:val="BodyText"/>
            </w:pPr>
            <w:r/>
            <w:r>
              <w:rPr>
                <w:b/>
              </w:rPr>
              <w:t>Status</w:t>
            </w:r>
          </w:p>
        </w:tc>
        <w:tc>
          <w:tcPr>
            <w:tcW w:type="dxa" w:w="4968"/>
            <w:vAlign w:val="top"/>
          </w:tcPr>
          <w:p>
            <w:pPr>
              <w:pStyle w:val="BodyText"/>
            </w:pPr>
            <w:r>
              <w:t>Merged replacement update to Reader Guide v0.3</w:t>
            </w:r>
            <w:r>
              <w:rPr>
                <w:b w:val="0"/>
              </w:rPr>
            </w:r>
          </w:p>
        </w:tc>
      </w:tr>
      <w:tr>
        <w:tc>
          <w:tcPr>
            <w:tcW w:type="dxa" w:w="4968"/>
            <w:shd w:fill="EDEDED"/>
            <w:vAlign w:val="top"/>
          </w:tcPr>
          <w:p>
            <w:pPr>
              <w:pStyle w:val="BodyText"/>
            </w:pPr>
            <w:r/>
            <w:r>
              <w:rPr>
                <w:b/>
              </w:rPr>
              <w:t>Category</w:t>
            </w:r>
          </w:p>
        </w:tc>
        <w:tc>
          <w:tcPr>
            <w:tcW w:type="dxa" w:w="4968"/>
            <w:vAlign w:val="top"/>
          </w:tcPr>
          <w:p>
            <w:pPr>
              <w:pStyle w:val="BodyText"/>
            </w:pPr>
            <w:r/>
            <w:r>
              <w:rPr>
                <w:b w:val="0"/>
              </w:rPr>
              <w:t>20 Stack and Layer Governance / Guides / Overviews / Diagrams</w:t>
            </w:r>
          </w:p>
        </w:tc>
      </w:tr>
      <w:tr>
        <w:tc>
          <w:tcPr>
            <w:tcW w:type="dxa" w:w="4968"/>
            <w:shd w:fill="EDEDED"/>
            <w:vAlign w:val="top"/>
          </w:tcPr>
          <w:p>
            <w:pPr>
              <w:pStyle w:val="BodyText"/>
            </w:pPr>
            <w:r/>
            <w:r>
              <w:rPr>
                <w:b/>
              </w:rPr>
              <w:t>Update purpose</w:t>
            </w:r>
          </w:p>
        </w:tc>
        <w:tc>
          <w:tcPr>
            <w:tcW w:type="dxa" w:w="4968"/>
            <w:vAlign w:val="top"/>
          </w:tcPr>
          <w:p>
            <w:pPr>
              <w:pStyle w:val="BodyText"/>
            </w:pPr>
            <w:r>
              <w:t>Preserves the repository-facing reader-guide function while incorporating the R24 placement rule for typed relational memory and cooperation propensity, learned guardrails, bounded rehabilitation, and reserve reconstruction.</w:t>
            </w:r>
            <w:r>
              <w:rPr>
                <w:b w:val="0"/>
              </w:rPr>
            </w:r>
          </w:p>
        </w:tc>
      </w:tr>
      <w:tr>
        <w:tc>
          <w:tcPr>
            <w:tcW w:type="dxa" w:w="4968"/>
            <w:shd w:fill="EDEDED"/>
            <w:vAlign w:val="top"/>
          </w:tcPr>
          <w:p>
            <w:pPr>
              <w:pStyle w:val="BodyText"/>
            </w:pPr>
            <w:r/>
            <w:r>
              <w:rPr>
                <w:b/>
              </w:rPr>
              <w:t>Source continuity</w:t>
            </w:r>
          </w:p>
        </w:tc>
        <w:tc>
          <w:tcPr>
            <w:tcW w:type="dxa" w:w="4968"/>
            <w:vAlign w:val="top"/>
          </w:tcPr>
          <w:p>
            <w:pPr>
              <w:pStyle w:val="BodyText"/>
            </w:pPr>
            <w:r>
              <w:t>Supersedes PV-PP Framework — Reader Guide — v0.2 Merged. Benchmark-specific continuity is retained without altering canonical operator ownership.</w:t>
            </w:r>
            <w:r>
              <w:rPr>
                <w:b w:val="0"/>
              </w:rPr>
            </w:r>
          </w:p>
        </w:tc>
      </w:tr>
    </w:tbl>
    <w:p/>
    <w:tbl>
      <w:tblPr>
        <w:tblStyle w:val="TableGrid"/>
        <w:tblW w:type="auto" w:w="0"/>
        <w:tblLook w:firstColumn="1" w:firstRow="1" w:lastColumn="0" w:lastRow="0" w:noHBand="0" w:noVBand="1" w:val="04A0"/>
      </w:tblPr>
      <w:tblGrid>
        <w:gridCol w:w="4968"/>
        <w:gridCol w:w="4968"/>
      </w:tblGrid>
      <w:tr>
        <w:tc>
          <w:tcPr>
            <w:tcW w:type="dxa" w:w="4968"/>
            <w:shd w:fill="D9EAF7"/>
          </w:tcPr>
          <w:p>
            <w:pPr>
              <w:pStyle w:val="BodyText"/>
            </w:pPr>
            <w:r/>
            <w:r>
              <w:rPr>
                <w:b/>
              </w:rPr>
              <w:t>Field</w:t>
            </w:r>
          </w:p>
        </w:tc>
        <w:tc>
          <w:tcPr>
            <w:tcW w:type="dxa" w:w="4968"/>
            <w:shd w:fill="D9EAF7"/>
          </w:tcPr>
          <w:p>
            <w:pPr>
              <w:pStyle w:val="BodyText"/>
            </w:pPr>
            <w:r/>
            <w:r>
              <w:rPr>
                <w:b/>
              </w:rPr>
              <w:t>Description</w:t>
            </w:r>
          </w:p>
        </w:tc>
      </w:tr>
      <w:tr>
        <w:tc>
          <w:tcPr>
            <w:tcW w:type="dxa" w:w="4968"/>
          </w:tcPr>
          <w:p>
            <w:pPr>
              <w:pStyle w:val="BodyText"/>
            </w:pPr>
            <w:r/>
            <w:r>
              <w:rPr>
                <w:b w:val="0"/>
              </w:rPr>
              <w:t>Document role</w:t>
            </w:r>
          </w:p>
        </w:tc>
        <w:tc>
          <w:tcPr>
            <w:tcW w:type="dxa" w:w="4968"/>
          </w:tcPr>
          <w:p>
            <w:pPr>
              <w:pStyle w:val="BodyText"/>
            </w:pPr>
            <w:r/>
            <w:r>
              <w:rPr>
                <w:b w:val="0"/>
              </w:rPr>
              <w:t>Framework-facing orientation and reading guide for PV-PP framework materials included in a repository, master-set insertion folder, or benchmark package.</w:t>
            </w:r>
          </w:p>
        </w:tc>
      </w:tr>
      <w:tr>
        <w:tc>
          <w:tcPr>
            <w:tcW w:type="dxa" w:w="4968"/>
          </w:tcPr>
          <w:p>
            <w:pPr>
              <w:pStyle w:val="BodyText"/>
            </w:pPr>
            <w:r/>
            <w:r>
              <w:rPr>
                <w:b w:val="0"/>
              </w:rPr>
              <w:t>Primary use</w:t>
            </w:r>
          </w:p>
        </w:tc>
        <w:tc>
          <w:tcPr>
            <w:tcW w:type="dxa" w:w="4968"/>
          </w:tcPr>
          <w:p>
            <w:pPr>
              <w:pStyle w:val="BodyText"/>
            </w:pPr>
            <w:r/>
            <w:r>
              <w:rPr>
                <w:b w:val="0"/>
              </w:rPr>
              <w:t>Give a benchmark-first or implementation-first reader enough structure to understand what the PV-PP framework is, how the operator stack fits together, where typed relational memory belongs, and where to go next in the framework files.</w:t>
            </w:r>
          </w:p>
        </w:tc>
      </w:tr>
      <w:tr>
        <w:tc>
          <w:tcPr>
            <w:tcW w:type="dxa" w:w="4968"/>
          </w:tcPr>
          <w:p>
            <w:pPr>
              <w:pStyle w:val="BodyText"/>
            </w:pPr>
            <w:r/>
            <w:r>
              <w:rPr>
                <w:b w:val="0"/>
              </w:rPr>
              <w:t>What it is</w:t>
            </w:r>
          </w:p>
        </w:tc>
        <w:tc>
          <w:tcPr>
            <w:tcW w:type="dxa" w:w="4968"/>
          </w:tcPr>
          <w:p>
            <w:pPr>
              <w:pStyle w:val="BodyText"/>
            </w:pPr>
            <w:r/>
            <w:r>
              <w:rPr>
                <w:b w:val="0"/>
              </w:rPr>
              <w:t>An orientation document connecting benchmark packages, framework specifications, and memory-governance extensions.</w:t>
            </w:r>
          </w:p>
        </w:tc>
      </w:tr>
      <w:tr>
        <w:tc>
          <w:tcPr>
            <w:tcW w:type="dxa" w:w="4968"/>
          </w:tcPr>
          <w:p>
            <w:pPr>
              <w:pStyle w:val="BodyText"/>
            </w:pPr>
            <w:r/>
            <w:r>
              <w:rPr>
                <w:b w:val="0"/>
              </w:rPr>
              <w:t>What it is not</w:t>
            </w:r>
          </w:p>
        </w:tc>
        <w:tc>
          <w:tcPr>
            <w:tcW w:type="dxa" w:w="4968"/>
          </w:tcPr>
          <w:p>
            <w:pPr>
              <w:pStyle w:val="BodyText"/>
            </w:pPr>
            <w:r/>
            <w:r>
              <w:rPr>
                <w:b w:val="0"/>
              </w:rPr>
              <w:t>Not a benchmark memo, not a canonical operator specification, not a replacement for the formal architecture files, and not a complete implementation manual.</w:t>
            </w:r>
          </w:p>
        </w:tc>
      </w:tr>
    </w:tbl>
    <w:p/>
    <w:p>
      <w:pPr>
        <w:pStyle w:val="Heading1"/>
      </w:pPr>
      <w:r>
        <w:t>Purpose</w:t>
      </w:r>
    </w:p>
    <w:p>
      <w:pPr>
        <w:pStyle w:val="BodyText"/>
      </w:pPr>
      <w:r>
        <w:t>This guide explains, at a repository-facing level, what the PV-PP framework is, how the core operator stack fits together, why the framework documents are included, and how typed relational memory now fits into the broader architecture. It is meant to help a serious reader move from benchmark-facing documents into the formal framework materials without inferring the structure from file names alone.</w:t>
      </w:r>
    </w:p>
    <w:p>
      <w:pPr>
        <w:pStyle w:val="Heading1"/>
      </w:pPr>
      <w:r>
        <w:t>1. What the PV-PP framework is at a high level</w:t>
      </w:r>
    </w:p>
    <w:p>
      <w:pPr>
        <w:pStyle w:val="BodyText"/>
      </w:pPr>
      <w:r>
        <w:t>The PV-PP framework models behavior as constrained, multi-domain viability management rather than scalar utility maximization. The framework does not begin by assuming that heterogeneous goods, risks, losses, obligations, relationships, and recovery paths must be reduced to one commensurable objective. It instead treats systems as occupying structured states whose persistence depends on thresholded domains, transition dynamics, memory-conditioned perception, and bounded recoverability.</w:t>
      </w:r>
    </w:p>
    <w:p>
      <w:pPr>
        <w:pStyle w:val="ListBullet"/>
      </w:pPr>
      <w:r>
        <w:t>Systems occupy structured states rather than one summary score.</w:t>
      </w:r>
    </w:p>
    <w:p>
      <w:pPr>
        <w:pStyle w:val="ListBullet"/>
      </w:pPr>
      <w:r>
        <w:t>Those states evolve through explicit transition.</w:t>
      </w:r>
    </w:p>
    <w:p>
      <w:pPr>
        <w:pStyle w:val="ListBullet"/>
      </w:pPr>
      <w:r>
        <w:t>Some domains become governing under pressure.</w:t>
      </w:r>
    </w:p>
    <w:p>
      <w:pPr>
        <w:pStyle w:val="ListBullet"/>
      </w:pPr>
      <w:r>
        <w:t>Candidate actions must be constructed, filtered, and selected relative to viability rather than scalar maximization.</w:t>
      </w:r>
    </w:p>
    <w:p>
      <w:pPr>
        <w:pStyle w:val="ListBullet"/>
      </w:pPr>
      <w:r>
        <w:t> Typed relational memory can condition relational interpretation, candidate visibility/construction, relationship-specific guardrail requirements, and recovery-route availability without becoming a new core operator or selector.</w:t>
      </w:r>
    </w:p>
    <w:p>
      <w:pPr>
        <w:pStyle w:val="BodyText"/>
      </w:pPr>
      <w:r>
        <w:t>For benchmark purposes, the practical implication is direct: a benchmark should not be read as showing that an action is “worth it” on one scalar score. It should be read as showing how an action can become selectable through governing structure, feasibility, framing, adequacy, relational evidence, and non-scalar selection discipline.</w:t>
      </w:r>
    </w:p>
    <w:p>
      <w:pPr>
        <w:pStyle w:val="Heading1"/>
      </w:pPr>
      <w:r>
        <w:t>2. Layered structure</w:t>
      </w:r>
    </w:p>
    <w:p>
      <w:pPr>
        <w:pStyle w:val="Heading2"/>
      </w:pPr>
      <w:r>
        <w:t>Layer 1 — Core formal system</w:t>
      </w:r>
    </w:p>
    <w:p>
      <w:pPr>
        <w:pStyle w:val="BodyText"/>
      </w:pPr>
      <w:r>
        <w:t>Layer 1 defines the ontological substrate beneath the decision architecture. It specifies actual persistent state S_I(t), including productive capability PP_I(t), stored productive value SPV_I(t), actual viability state AVS_I(t), context X_I(t), plus interaction, transition, projection, reachability, and closure. Layer 1 does not select policies. It defines what the modeled system is and how actual state can evolve.</w:t>
      </w:r>
    </w:p>
    <w:p>
      <w:pPr>
        <w:pStyle w:val="Heading2"/>
      </w:pPr>
      <w:r>
        <w:t>Layer 2 — Decision architecture</w:t>
      </w:r>
    </w:p>
    <w:p>
      <w:pPr>
        <w:pStyle w:val="BodyText"/>
      </w:pPr>
      <w:r>
        <w:t>Layer 2 governs action selection under bounded perception and viability pressure. It specifies how perceived state is interpreted, how urgency is organized, how candidate policies are built, how non-viable candidates are filtered out, and how one executable action is finally selected.</w:t>
      </w:r>
    </w:p>
    <w:p>
      <w:pPr>
        <w:pStyle w:val="Heading2"/>
      </w:pPr>
      <w:r>
        <w:t>Memory governance — cross-layer interface</w:t>
      </w:r>
    </w:p>
    <w:p>
      <w:pPr>
        <w:pStyle w:val="BodyText"/>
      </w:pPr>
      <w:r>
        <w:t>Typed relational memory sits in the memory-governance file set. Cooperation propensity is counterpart-indexed relational decision state/modification derived from retrieved typed relational evidence together with current expectation/confidence, perceived conditions, commitments, and applicable safeguards. It is not a global trust score, probability score, independent state variable, operator, or selector. Its direct architectural effects are routed through relational interpretation, Graph/Π candidate visibility and construction, relationship-specific Constraints, and recovery-route availability.</w:t>
      </w:r>
    </w:p>
    <w:p>
      <w:pPr>
        <w:pStyle w:val="Heading1"/>
      </w:pPr>
      <w:r>
        <w:t>3. Full operator stack</w:t>
      </w:r>
    </w:p>
    <w:p>
      <w:pPr>
        <w:pStyle w:val="BodyText"/>
      </w:pPr>
      <w:r>
        <w:t>The framework subset is easiest to understand through the current full Layer 2 stack:</w:t>
      </w:r>
    </w:p>
    <w:p>
      <w:pPr>
        <w:jc w:val="center"/>
      </w:pPr>
      <w:r>
        <w:rPr>
          <w:rFonts w:ascii="Arial" w:hAnsi="Arial"/>
          <w:b/>
          <w:sz w:val="20"/>
        </w:rPr>
        <w:t>P_I(t) -&gt; Φ -&gt; H -&gt; G -&gt; ℛ -&gt; Graph Layer / seed substrate -&gt; Π -&gt; Π completeness validation -&gt; Constraints -&gt; Domain Framing -&gt; Adequacy -&gt; Σ -&gt; ε</w:t>
      </w:r>
    </w:p>
    <w:p>
      <w:pPr>
        <w:pStyle w:val="BodyText"/>
      </w:pPr>
      <w:r>
        <w:t>Read this as an ordered pipeline in which each operator has a distinct role and downstream stages may not compensate for upstream omissions.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pPr>
              <w:pStyle w:val="BodyText"/>
            </w:pPr>
            <w:r/>
            <w:r>
              <w:rPr>
                <w:b/>
              </w:rPr>
              <w:t>Stage</w:t>
            </w:r>
          </w:p>
        </w:tc>
        <w:tc>
          <w:tcPr>
            <w:tcW w:type="dxa" w:w="3312"/>
            <w:shd w:fill="D9EAF7"/>
          </w:tcPr>
          <w:p>
            <w:pPr>
              <w:pStyle w:val="BodyText"/>
            </w:pPr>
            <w:r/>
            <w:r>
              <w:rPr>
                <w:b/>
              </w:rPr>
              <w:t>Operator</w:t>
            </w:r>
          </w:p>
        </w:tc>
        <w:tc>
          <w:tcPr>
            <w:tcW w:type="dxa" w:w="3312"/>
            <w:shd w:fill="D9EAF7"/>
          </w:tcPr>
          <w:p>
            <w:pPr>
              <w:pStyle w:val="BodyText"/>
            </w:pPr>
            <w:r/>
            <w:r>
              <w:rPr>
                <w:b/>
              </w:rPr>
              <w:t>Executive role</w:t>
            </w:r>
          </w:p>
        </w:tc>
      </w:tr>
      <w:tr>
        <w:tc>
          <w:tcPr>
            <w:tcW w:type="dxa" w:w="3312"/>
          </w:tcPr>
          <w:p>
            <w:pPr>
              <w:pStyle w:val="BodyText"/>
            </w:pPr>
            <w:r/>
            <w:r>
              <w:rPr>
                <w:b w:val="0"/>
              </w:rPr>
              <w:t>1</w:t>
            </w:r>
          </w:p>
        </w:tc>
        <w:tc>
          <w:tcPr>
            <w:tcW w:type="dxa" w:w="3312"/>
          </w:tcPr>
          <w:p>
            <w:pPr>
              <w:pStyle w:val="BodyText"/>
            </w:pPr>
            <w:r/>
            <w:r>
              <w:rPr>
                <w:b w:val="0"/>
              </w:rPr>
              <w:t>PPP</w:t>
            </w:r>
          </w:p>
        </w:tc>
        <w:tc>
          <w:tcPr>
            <w:tcW w:type="dxa" w:w="3312"/>
          </w:tcPr>
          <w:p>
            <w:pPr>
              <w:pStyle w:val="BodyText"/>
            </w:pPr>
            <w:r>
              <w:t>Structured perceived decision-state interface P_I(t); PPP_I(t) is its perceived productive-capability component. The decision system begins from perceived rather than omniscient state.</w:t>
            </w:r>
            <w:r>
              <w:rPr>
                <w:b w:val="0"/>
              </w:rPr>
            </w:r>
          </w:p>
        </w:tc>
      </w:tr>
      <w:tr>
        <w:tc>
          <w:tcPr>
            <w:tcW w:type="dxa" w:w="3312"/>
          </w:tcPr>
          <w:p>
            <w:pPr>
              <w:pStyle w:val="BodyText"/>
            </w:pPr>
            <w:r/>
            <w:r>
              <w:rPr>
                <w:b w:val="0"/>
              </w:rPr>
              <w:t>2</w:t>
            </w:r>
          </w:p>
        </w:tc>
        <w:tc>
          <w:tcPr>
            <w:tcW w:type="dxa" w:w="3312"/>
          </w:tcPr>
          <w:p>
            <w:pPr>
              <w:pStyle w:val="BodyText"/>
            </w:pPr>
            <w:r/>
            <w:r>
              <w:rPr>
                <w:b w:val="0"/>
              </w:rPr>
              <w:t>Φ</w:t>
            </w:r>
          </w:p>
        </w:tc>
        <w:tc>
          <w:tcPr>
            <w:tcW w:type="dxa" w:w="3312"/>
          </w:tcPr>
          <w:p>
            <w:pPr>
              <w:pStyle w:val="BodyText"/>
            </w:pPr>
            <w:r/>
            <w:r>
              <w:rPr>
                <w:b w:val="0"/>
              </w:rPr>
              <w:t>Pressure-field representation of current constraint intensity and directional strain across domains.</w:t>
            </w:r>
          </w:p>
        </w:tc>
      </w:tr>
      <w:tr>
        <w:tc>
          <w:tcPr>
            <w:tcW w:type="dxa" w:w="3312"/>
          </w:tcPr>
          <w:p>
            <w:pPr>
              <w:pStyle w:val="BodyText"/>
            </w:pPr>
            <w:r/>
            <w:r>
              <w:rPr>
                <w:b w:val="0"/>
              </w:rPr>
              <w:t>3</w:t>
            </w:r>
          </w:p>
        </w:tc>
        <w:tc>
          <w:tcPr>
            <w:tcW w:type="dxa" w:w="3312"/>
          </w:tcPr>
          <w:p>
            <w:pPr>
              <w:pStyle w:val="BodyText"/>
            </w:pPr>
            <w:r/>
            <w:r>
              <w:rPr>
                <w:b w:val="0"/>
              </w:rPr>
              <w:t>H</w:t>
            </w:r>
          </w:p>
        </w:tc>
        <w:tc>
          <w:tcPr>
            <w:tcW w:type="dxa" w:w="3312"/>
          </w:tcPr>
          <w:p>
            <w:pPr>
              <w:pStyle w:val="BodyText"/>
            </w:pPr>
            <w:r/>
            <w:r>
              <w:rPr>
                <w:b w:val="0"/>
              </w:rPr>
              <w:t>Baseline collapse-horizon structure: time-to-breach mapping under continuation conditions.</w:t>
            </w:r>
          </w:p>
        </w:tc>
      </w:tr>
      <w:tr>
        <w:tc>
          <w:tcPr>
            <w:tcW w:type="dxa" w:w="3312"/>
          </w:tcPr>
          <w:p>
            <w:pPr>
              <w:pStyle w:val="BodyText"/>
            </w:pPr>
            <w:r/>
            <w:r>
              <w:rPr>
                <w:b w:val="0"/>
              </w:rPr>
              <w:t>4</w:t>
            </w:r>
          </w:p>
        </w:tc>
        <w:tc>
          <w:tcPr>
            <w:tcW w:type="dxa" w:w="3312"/>
          </w:tcPr>
          <w:p>
            <w:pPr>
              <w:pStyle w:val="BodyText"/>
            </w:pPr>
            <w:r/>
            <w:r>
              <w:rPr>
                <w:b w:val="0"/>
              </w:rPr>
              <w:t>G</w:t>
            </w:r>
          </w:p>
        </w:tc>
        <w:tc>
          <w:tcPr>
            <w:tcW w:type="dxa" w:w="3312"/>
          </w:tcPr>
          <w:p>
            <w:pPr>
              <w:pStyle w:val="BodyText"/>
            </w:pPr>
            <w:r/>
            <w:r>
              <w:rPr>
                <w:b w:val="0"/>
              </w:rPr>
              <w:t>Identification of the governing domain set, including dependency closure where required.</w:t>
            </w:r>
          </w:p>
        </w:tc>
      </w:tr>
      <w:tr>
        <w:tc>
          <w:tcPr>
            <w:tcW w:type="dxa" w:w="3312"/>
          </w:tcPr>
          <w:p>
            <w:pPr>
              <w:pStyle w:val="BodyText"/>
            </w:pPr>
            <w:r/>
            <w:r>
              <w:rPr>
                <w:b w:val="0"/>
              </w:rPr>
              <w:t>5</w:t>
            </w:r>
          </w:p>
        </w:tc>
        <w:tc>
          <w:tcPr>
            <w:tcW w:type="dxa" w:w="3312"/>
          </w:tcPr>
          <w:p>
            <w:pPr>
              <w:pStyle w:val="BodyText"/>
            </w:pPr>
            <w:r/>
            <w:r>
              <w:rPr>
                <w:b w:val="0"/>
              </w:rPr>
              <w:t>ℛ</w:t>
            </w:r>
          </w:p>
        </w:tc>
        <w:tc>
          <w:tcPr>
            <w:tcW w:type="dxa" w:w="3312"/>
          </w:tcPr>
          <w:p>
            <w:pPr>
              <w:pStyle w:val="BodyText"/>
            </w:pPr>
            <w:r/>
            <w:r>
              <w:rPr>
                <w:b w:val="0"/>
              </w:rPr>
              <w:t>Regime classification: determines behavioral posture under the current pressure and horizon structure.</w:t>
            </w:r>
          </w:p>
        </w:tc>
      </w:tr>
      <w:tr>
        <w:tc>
          <w:tcPr>
            <w:tcW w:type="dxa" w:w="3312"/>
          </w:tcPr>
          <w:p>
            <w:pPr>
              <w:pStyle w:val="BodyText"/>
            </w:pPr>
            <w:r/>
            <w:r>
              <w:rPr>
                <w:b w:val="0"/>
              </w:rPr>
              <w:t>6</w:t>
            </w:r>
          </w:p>
        </w:tc>
        <w:tc>
          <w:tcPr>
            <w:tcW w:type="dxa" w:w="3312"/>
          </w:tcPr>
          <w:p>
            <w:pPr>
              <w:pStyle w:val="BodyText"/>
            </w:pPr>
            <w:r/>
            <w:r>
              <w:rPr>
                <w:b w:val="0"/>
              </w:rPr>
              <w:t>Graph Layer / seed substrate</w:t>
            </w:r>
          </w:p>
        </w:tc>
        <w:tc>
          <w:tcPr>
            <w:tcW w:type="dxa" w:w="3312"/>
          </w:tcPr>
          <w:p>
            <w:pPr>
              <w:pStyle w:val="BodyText"/>
            </w:pPr>
            <w:r/>
            <w:r>
              <w:rPr>
                <w:b w:val="0"/>
              </w:rPr>
              <w:t>Construction of the reachable structural policy space through domains, instances, transformations, composition paths, and bounded seeds.</w:t>
            </w:r>
          </w:p>
        </w:tc>
      </w:tr>
      <w:tr>
        <w:tc>
          <w:tcPr>
            <w:tcW w:type="dxa" w:w="3312"/>
          </w:tcPr>
          <w:p>
            <w:pPr>
              <w:pStyle w:val="BodyText"/>
            </w:pPr>
            <w:r/>
            <w:r>
              <w:rPr>
                <w:b w:val="0"/>
              </w:rPr>
              <w:t>7</w:t>
            </w:r>
          </w:p>
        </w:tc>
        <w:tc>
          <w:tcPr>
            <w:tcW w:type="dxa" w:w="3312"/>
          </w:tcPr>
          <w:p>
            <w:pPr>
              <w:pStyle w:val="BodyText"/>
            </w:pPr>
            <w:r/>
            <w:r>
              <w:rPr>
                <w:b w:val="0"/>
              </w:rPr>
              <w:t>Π</w:t>
            </w:r>
          </w:p>
        </w:tc>
        <w:tc>
          <w:tcPr>
            <w:tcW w:type="dxa" w:w="3312"/>
          </w:tcPr>
          <w:p>
            <w:pPr>
              <w:pStyle w:val="BodyText"/>
            </w:pPr>
            <w:r/>
            <w:r>
              <w:rPr>
                <w:b w:val="0"/>
              </w:rPr>
              <w:t>Policy construction from graph-derived seeds; candidate generation remains graph-bound rather than improvisational.</w:t>
            </w:r>
          </w:p>
        </w:tc>
      </w:tr>
      <w:tr>
        <w:tc>
          <w:tcPr>
            <w:tcW w:type="dxa" w:w="3312"/>
          </w:tcPr>
          <w:p>
            <w:pPr>
              <w:pStyle w:val="BodyText"/>
            </w:pPr>
            <w:r/>
            <w:r>
              <w:rPr>
                <w:b w:val="0"/>
              </w:rPr>
              <w:t>8</w:t>
            </w:r>
          </w:p>
        </w:tc>
        <w:tc>
          <w:tcPr>
            <w:tcW w:type="dxa" w:w="3312"/>
          </w:tcPr>
          <w:p>
            <w:pPr>
              <w:pStyle w:val="BodyText"/>
            </w:pPr>
            <w:r/>
            <w:r>
              <w:rPr>
                <w:b w:val="0"/>
              </w:rPr>
              <w:t>Π completeness validation</w:t>
            </w:r>
          </w:p>
        </w:tc>
        <w:tc>
          <w:tcPr>
            <w:tcW w:type="dxa" w:w="3312"/>
          </w:tcPr>
          <w:p>
            <w:pPr>
              <w:pStyle w:val="BodyText"/>
            </w:pPr>
            <w:r/>
            <w:r>
              <w:rPr>
                <w:b w:val="0"/>
              </w:rPr>
              <w:t>Hard sufficiency gate on the candidate set; prevents downstream reasoning over materially incomplete policy space.</w:t>
            </w:r>
          </w:p>
        </w:tc>
      </w:tr>
      <w:tr>
        <w:tc>
          <w:tcPr>
            <w:tcW w:type="dxa" w:w="3312"/>
          </w:tcPr>
          <w:p>
            <w:pPr>
              <w:pStyle w:val="BodyText"/>
            </w:pPr>
            <w:r/>
            <w:r>
              <w:rPr>
                <w:b w:val="0"/>
              </w:rPr>
              <w:t>9</w:t>
            </w:r>
          </w:p>
        </w:tc>
        <w:tc>
          <w:tcPr>
            <w:tcW w:type="dxa" w:w="3312"/>
          </w:tcPr>
          <w:p>
            <w:pPr>
              <w:pStyle w:val="BodyText"/>
            </w:pPr>
            <w:r/>
            <w:r>
              <w:rPr>
                <w:b w:val="0"/>
              </w:rPr>
              <w:t>Constraints</w:t>
            </w:r>
          </w:p>
        </w:tc>
        <w:tc>
          <w:tcPr>
            <w:tcW w:type="dxa" w:w="3312"/>
          </w:tcPr>
          <w:p>
            <w:pPr>
              <w:pStyle w:val="BodyText"/>
            </w:pPr>
            <w:r/>
            <w:r>
              <w:rPr>
                <w:b w:val="0"/>
              </w:rPr>
              <w:t>Feasibility filtering over the licensed candidate set.</w:t>
            </w:r>
          </w:p>
        </w:tc>
      </w:tr>
      <w:tr>
        <w:tc>
          <w:tcPr>
            <w:tcW w:type="dxa" w:w="3312"/>
          </w:tcPr>
          <w:p>
            <w:pPr>
              <w:pStyle w:val="BodyText"/>
            </w:pPr>
            <w:r/>
            <w:r>
              <w:rPr>
                <w:b w:val="0"/>
              </w:rPr>
              <w:t>10</w:t>
            </w:r>
          </w:p>
        </w:tc>
        <w:tc>
          <w:tcPr>
            <w:tcW w:type="dxa" w:w="3312"/>
          </w:tcPr>
          <w:p>
            <w:pPr>
              <w:pStyle w:val="BodyText"/>
            </w:pPr>
            <w:r/>
            <w:r>
              <w:rPr>
                <w:b w:val="0"/>
              </w:rPr>
              <w:t>Domain Framing</w:t>
            </w:r>
          </w:p>
        </w:tc>
        <w:tc>
          <w:tcPr>
            <w:tcW w:type="dxa" w:w="3312"/>
          </w:tcPr>
          <w:p>
            <w:pPr>
              <w:pStyle w:val="BodyText"/>
            </w:pPr>
            <w:r/>
            <w:r>
              <w:rPr>
                <w:b w:val="0"/>
              </w:rPr>
              <w:t>Explicit declaration of the preservation target actually being evaluated.</w:t>
            </w:r>
          </w:p>
        </w:tc>
      </w:tr>
      <w:tr>
        <w:tc>
          <w:tcPr>
            <w:tcW w:type="dxa" w:w="3312"/>
          </w:tcPr>
          <w:p>
            <w:pPr>
              <w:pStyle w:val="BodyText"/>
            </w:pPr>
            <w:r/>
            <w:r>
              <w:rPr>
                <w:b w:val="0"/>
              </w:rPr>
              <w:t>11</w:t>
            </w:r>
          </w:p>
        </w:tc>
        <w:tc>
          <w:tcPr>
            <w:tcW w:type="dxa" w:w="3312"/>
          </w:tcPr>
          <w:p>
            <w:pPr>
              <w:pStyle w:val="BodyText"/>
            </w:pPr>
            <w:r/>
            <w:r>
              <w:rPr>
                <w:b w:val="0"/>
              </w:rPr>
              <w:t>Adequacy</w:t>
            </w:r>
          </w:p>
        </w:tc>
        <w:tc>
          <w:tcPr>
            <w:tcW w:type="dxa" w:w="3312"/>
          </w:tcPr>
          <w:p>
            <w:pPr>
              <w:pStyle w:val="BodyText"/>
            </w:pPr>
            <w:r/>
            <w:r>
              <w:rPr>
                <w:b w:val="0"/>
              </w:rPr>
              <w:t>Recovery-corridor and joint-sustainment filter relative to the framed governing structure.</w:t>
            </w:r>
          </w:p>
        </w:tc>
      </w:tr>
      <w:tr>
        <w:tc>
          <w:tcPr>
            <w:tcW w:type="dxa" w:w="3312"/>
          </w:tcPr>
          <w:p>
            <w:pPr>
              <w:pStyle w:val="BodyText"/>
            </w:pPr>
            <w:r/>
            <w:r>
              <w:rPr>
                <w:b w:val="0"/>
              </w:rPr>
              <w:t>12</w:t>
            </w:r>
          </w:p>
        </w:tc>
        <w:tc>
          <w:tcPr>
            <w:tcW w:type="dxa" w:w="3312"/>
          </w:tcPr>
          <w:p>
            <w:pPr>
              <w:pStyle w:val="BodyText"/>
            </w:pPr>
            <w:r/>
            <w:r>
              <w:rPr>
                <w:b w:val="0"/>
              </w:rPr>
              <w:t>Σ</w:t>
            </w:r>
          </w:p>
        </w:tc>
        <w:tc>
          <w:tcPr>
            <w:tcW w:type="dxa" w:w="3312"/>
          </w:tcPr>
          <w:p>
            <w:pPr>
              <w:pStyle w:val="BodyText"/>
            </w:pPr>
            <w:r/>
            <w:r>
              <w:rPr>
                <w:b w:val="0"/>
              </w:rPr>
              <w:t>Non-scalar selection only; operates after validity, completeness, feasibility, framing, and adequacy have done their work.</w:t>
            </w:r>
          </w:p>
        </w:tc>
      </w:tr>
      <w:tr>
        <w:tc>
          <w:tcPr>
            <w:tcW w:type="dxa" w:w="3312"/>
          </w:tcPr>
          <w:p>
            <w:pPr>
              <w:pStyle w:val="BodyText"/>
            </w:pPr>
            <w:r/>
            <w:r>
              <w:rPr>
                <w:b w:val="0"/>
              </w:rPr>
              <w:t>13</w:t>
            </w:r>
          </w:p>
        </w:tc>
        <w:tc>
          <w:tcPr>
            <w:tcW w:type="dxa" w:w="3312"/>
          </w:tcPr>
          <w:p>
            <w:pPr>
              <w:pStyle w:val="BodyText"/>
            </w:pPr>
            <w:r/>
            <w:r>
              <w:rPr>
                <w:b w:val="0"/>
              </w:rPr>
              <w:t>ε</w:t>
            </w:r>
          </w:p>
        </w:tc>
        <w:tc>
          <w:tcPr>
            <w:tcW w:type="dxa" w:w="3312"/>
          </w:tcPr>
          <w:p>
            <w:pPr>
              <w:pStyle w:val="BodyText"/>
            </w:pPr>
            <w:r/>
            <w:r>
              <w:rPr>
                <w:b w:val="0"/>
              </w:rPr>
              <w:t>Execution or realization of the selected policy.</w:t>
            </w:r>
          </w:p>
        </w:tc>
      </w:tr>
    </w:tbl>
    <w:p/>
    <w:p>
      <w:pPr>
        <w:pStyle w:val="Heading1"/>
      </w:pPr>
      <w:r>
        <w:t>4. Typed relational memory and cooperation propensity</w:t>
      </w:r>
    </w:p>
    <w:p>
      <w:pPr>
        <w:pStyle w:val="BodyText"/>
      </w:pPr>
      <w:r>
        <w:t>Typed relational memory is a recognized memory-governance extension within the PV-PP framework. It supports counterpart-specific cooperation access, guarded cooperation, bounded rehabilitation after defection, reserve reconstruction, and recovery-corridor maintenance. Cooperation propensity is not a direct input to every downstream operator. Its effects must be routed through existing interfaces, while Domain Framing, Adequacy, Σ, and ε retain their canonical authority.</w:t>
      </w:r>
    </w:p>
    <w:p>
      <w:pPr>
        <w:pStyle w:val="Heading2"/>
      </w:pPr>
      <w:r>
        <w:t>What typed relational memory adds</w:t>
      </w:r>
    </w:p>
    <w:p>
      <w:pPr>
        <w:pStyle w:val="ListBullet"/>
      </w:pPr>
      <w:r>
        <w:t>Relationship-specific evidence instead of a flat trust score.</w:t>
      </w:r>
    </w:p>
    <w:p>
      <w:pPr>
        <w:pStyle w:val="ListBullet"/>
      </w:pPr>
      <w:r>
        <w:t>Typed records such as reciprocity, defection, recovery path, PP ledger, bounded contract success, and bounded contract failure.</w:t>
      </w:r>
    </w:p>
    <w:p>
      <w:pPr>
        <w:pStyle w:val="ListBullet"/>
      </w:pPr>
      <w:r>
        <w:t> Cooperation propensity as counterpart-indexed relational decision state/modification: a bounded indication of whether and under what safeguards cooperation routes are visible or constructible for a specific counterpart or relation. It is not a probability score or global trust scalar.</w:t>
      </w:r>
    </w:p>
    <w:p>
      <w:pPr>
        <w:pStyle w:val="ListBullet"/>
      </w:pPr>
      <w:r>
        <w:t>Learned guardrails after defection without laundering the defector into full trust.</w:t>
      </w:r>
    </w:p>
    <w:p>
      <w:pPr>
        <w:pStyle w:val="ListBullet"/>
      </w:pPr>
      <w:r>
        <w:t>Bounded rehabilitation: cooperation may reopen under contract, boundary, or limited-exposure structure without erasing adverse memory.</w:t>
      </w:r>
    </w:p>
    <w:p>
      <w:pPr>
        <w:pStyle w:val="ListBullet"/>
      </w:pPr>
      <w:r>
        <w:t>Reserve reconstruction after crisis: recovery must rebuild food, water, energy, trust reserve, tool condition, and other governing reserves above floor rather than merely stopping immediate collapse.</w:t>
      </w:r>
    </w:p>
    <w:p>
      <w:pPr>
        <w:pStyle w:val="ListBullet"/>
      </w:pPr>
      <w:r>
        <w:t>A crude-memory contrast case: overgeneralized distrust and candidate-field suppression are treated as failure modes, not as successful prudence.</w:t>
      </w:r>
    </w:p>
    <w:p>
      <w:pPr>
        <w:pStyle w:val="Heading2"/>
      </w:pPr>
      <w:r>
        <w:t>Where the memory files belong</w:t>
      </w:r>
    </w:p>
    <w:p>
      <w:pPr>
        <w:pStyle w:val="ListBullet"/>
      </w:pPr>
      <w:r>
        <w:t>Place the framework class specification under: 20 Stack and Layer Governance / Memory / Typed Relational Memory.</w:t>
      </w:r>
    </w:p>
    <w:p>
      <w:pPr>
        <w:pStyle w:val="ListBullet"/>
      </w:pPr>
      <w:r>
        <w:t>Place the operator interface addendum under: 15 Operators / Operators Supporting.</w:t>
      </w:r>
    </w:p>
    <w:p>
      <w:pPr>
        <w:pStyle w:val="ListBullet"/>
      </w:pPr>
      <w:r>
        <w:t>Reference the memory folder from this Reader Guide and from the Canonical Operator Stack Reference.</w:t>
      </w:r>
    </w:p>
    <w:p>
      <w:pPr>
        <w:pStyle w:val="Heading1"/>
      </w:pPr>
      <w:r>
        <w:t>5. How the included files fit the stack</w:t>
      </w:r>
    </w:p>
    <w:p>
      <w:pPr>
        <w:pStyle w:val="BodyText"/>
      </w:pPr>
      <w:r>
        <w:t>The framework folder in a repository is not decorative support material. It is the minimum framework release set needed to show that a benchmark or implementation is architecture-driven rather than a tuned simulation with special-case behavior bolted on top.</w:t>
      </w:r>
    </w:p>
    <w:p>
      <w:pPr>
        <w:pStyle w:val="Heading2"/>
      </w:pPr>
      <w:r>
        <w:t>Core foundation</w:t>
      </w:r>
    </w:p>
    <w:p>
      <w:pPr>
        <w:pStyle w:val="BodyText"/>
      </w:pPr>
      <w:r>
        <w:t>The Layer 1 Canonical Core Formal System provides the state-and-transition base beneath the benchmark or application. Without it, the implementation can be dismissed as a simulation with undefined state semantics.</w:t>
      </w:r>
    </w:p>
    <w:p>
      <w:pPr>
        <w:pStyle w:val="Heading2"/>
      </w:pPr>
      <w:r>
        <w:t>System architecture</w:t>
      </w:r>
    </w:p>
    <w:p>
      <w:pPr>
        <w:pStyle w:val="BodyText"/>
      </w:pPr>
      <w:r>
        <w:t>The Core Decision Architecture states the full current stack beginning from P_I(t) and the operator-boundary discipline. It is the shortest route from orientation to the actual decision architecture.</w:t>
      </w:r>
    </w:p>
    <w:p>
      <w:pPr>
        <w:pStyle w:val="Heading2"/>
      </w:pPr>
      <w:r>
        <w:t>Canonical operator specifications</w:t>
      </w:r>
    </w:p>
    <w:p>
      <w:pPr>
        <w:pStyle w:val="ListBullet"/>
      </w:pPr>
      <w:r>
        <w:t>Pressure Field Operator Φ</w:t>
      </w:r>
    </w:p>
    <w:p>
      <w:pPr>
        <w:pStyle w:val="ListBullet"/>
      </w:pPr>
      <w:r>
        <w:t>Collapse Horizon Operator H</w:t>
      </w:r>
    </w:p>
    <w:p>
      <w:pPr>
        <w:pStyle w:val="ListBullet"/>
      </w:pPr>
      <w:r>
        <w:t>Governing Domain Identification Operator G</w:t>
      </w:r>
    </w:p>
    <w:p>
      <w:pPr>
        <w:pStyle w:val="ListBullet"/>
      </w:pPr>
      <w:r>
        <w:t>Regime Classification Operator ℛ</w:t>
      </w:r>
    </w:p>
    <w:p>
      <w:pPr>
        <w:pStyle w:val="ListBullet"/>
      </w:pPr>
      <w:r>
        <w:t>Constraint System</w:t>
      </w:r>
    </w:p>
    <w:p>
      <w:pPr>
        <w:pStyle w:val="ListBullet"/>
      </w:pPr>
      <w:r>
        <w:t>Restoration Adequacy Operator</w:t>
      </w:r>
    </w:p>
    <w:p>
      <w:pPr>
        <w:pStyle w:val="ListBullet"/>
      </w:pPr>
      <w:r>
        <w:t>Selection Operator Σ</w:t>
      </w:r>
    </w:p>
    <w:p>
      <w:pPr>
        <w:pStyle w:val="ListBullet"/>
      </w:pPr>
      <w:r>
        <w:t>Realization Operator ε</w:t>
      </w:r>
    </w:p>
    <w:p>
      <w:pPr>
        <w:pStyle w:val="BodyText"/>
      </w:pPr>
      <w:r>
        <w:t>These files define the main operators and their role boundaries. They are the documents that show the benchmark or implementation is architecture-driven rather than ad hoc.</w:t>
      </w:r>
    </w:p>
    <w:p>
      <w:pPr>
        <w:pStyle w:val="Heading2"/>
      </w:pPr>
      <w:r>
        <w:t>Supporting architecture documents</w:t>
      </w:r>
    </w:p>
    <w:p>
      <w:pPr>
        <w:pStyle w:val="ListBullet"/>
      </w:pPr>
      <w:r>
        <w:t>Viability Domain Framing Rule</w:t>
      </w:r>
    </w:p>
    <w:p>
      <w:pPr>
        <w:pStyle w:val="ListBullet"/>
      </w:pPr>
      <w:r>
        <w:t>Π Completeness Validation Rule</w:t>
      </w:r>
    </w:p>
    <w:p>
      <w:pPr>
        <w:pStyle w:val="ListBullet"/>
      </w:pPr>
      <w:r>
        <w:t>Governing-Critical Structure and Exit Policy Inclusion</w:t>
      </w:r>
    </w:p>
    <w:p>
      <w:pPr>
        <w:pStyle w:val="ListBullet"/>
      </w:pPr>
      <w:r>
        <w:t>Graph Construction Protocol</w:t>
      </w:r>
    </w:p>
    <w:p>
      <w:pPr>
        <w:pStyle w:val="ListBullet"/>
      </w:pPr>
      <w:r>
        <w:t>Instance-Transformation Graph Layer</w:t>
      </w:r>
    </w:p>
    <w:p>
      <w:pPr>
        <w:pStyle w:val="ListBullet"/>
      </w:pPr>
      <w:r>
        <w:t>Policy Structural Equivalence and Seed Reduction Criteria</w:t>
      </w:r>
    </w:p>
    <w:p>
      <w:pPr>
        <w:pStyle w:val="ListBullet"/>
      </w:pPr>
      <w:r>
        <w:t>Selection Operator Σ and Fallback Structure — Parameterization Addendum</w:t>
      </w:r>
    </w:p>
    <w:p>
      <w:pPr>
        <w:pStyle w:val="ListBullet"/>
      </w:pPr>
      <w:r>
        <w:t>Typed Relational Memory Framework Class Specification</w:t>
      </w:r>
    </w:p>
    <w:p>
      <w:pPr>
        <w:pStyle w:val="ListBullet"/>
      </w:pPr>
      <w:r>
        <w:t>Typed Relational Memory Operator Interface Addendum</w:t>
      </w:r>
    </w:p>
    <w:p>
      <w:pPr>
        <w:pStyle w:val="BodyText"/>
      </w:pPr>
      <w:r>
        <w:t>These supporting files govern policy construction discipline, adequacy interpretation, graph-backed candidate generation, criticality classification, non-scalar fallback behavior, and memory-conditioned cooperation/recovery behavior.</w:t>
      </w:r>
    </w:p>
    <w:p>
      <w:pPr>
        <w:pStyle w:val="Heading1"/>
      </w:pPr>
      <w:r>
        <w:t>6. Recommended reading order</w:t>
      </w:r>
    </w:p>
    <w:p>
      <w:pPr>
        <w:pStyle w:val="ListNumber"/>
      </w:pPr>
      <w:r>
        <w:t>This Reader Guide.</w:t>
      </w:r>
    </w:p>
    <w:p>
      <w:pPr>
        <w:pStyle w:val="ListNumber"/>
      </w:pPr>
      <w:r>
        <w:t>Core Decision Architecture (V2) or the current master architecture document.</w:t>
      </w:r>
    </w:p>
    <w:p>
      <w:pPr>
        <w:pStyle w:val="ListNumber"/>
      </w:pPr>
      <w:r>
        <w:t>Layer 1 — Canonical Core Formal System.</w:t>
      </w:r>
    </w:p>
    <w:p>
      <w:pPr>
        <w:pStyle w:val="ListNumber"/>
      </w:pPr>
      <w:r>
        <w:t>Canonical operator specifications.</w:t>
      </w:r>
    </w:p>
    <w:p>
      <w:pPr>
        <w:pStyle w:val="ListNumber"/>
      </w:pPr>
      <w:r>
        <w:t>Supporting specifications for framing, completeness, graph construction, criticality, reduction, and typed relational memory.</w:t>
      </w:r>
    </w:p>
    <w:p>
      <w:pPr>
        <w:pStyle w:val="ListNumber"/>
      </w:pPr>
      <w:r>
        <w:t>Benchmark-facing bridge documents and benchmark result memos.</w:t>
      </w:r>
    </w:p>
    <w:p>
      <w:pPr>
        <w:pStyle w:val="BodyText"/>
      </w:pPr>
      <w:r>
        <w:t>That order moves from orientation to architecture to implementation-relevant detail. A serious reader should not start randomly inside the operator or supporting-specification folders.</w:t>
      </w:r>
    </w:p>
    <w:p>
      <w:pPr>
        <w:pStyle w:val="Heading1"/>
      </w:pPr>
      <w:r>
        <w:t>7. Repository navigation notes</w:t>
      </w:r>
    </w:p>
    <w:p>
      <w:pPr>
        <w:pStyle w:val="ListBullet"/>
      </w:pPr>
      <w:r>
        <w:t>10 Core Framework — core Layer 1 and Layer 2 architecture, state and transition semantics, graph structure, perception interfaces, and supporting core specifications.</w:t>
      </w:r>
    </w:p>
    <w:p>
      <w:pPr>
        <w:pStyle w:val="ListBullet"/>
      </w:pPr>
      <w:r>
        <w:t>15 Operators — current operator-owner specifications and selected operator-supporting specifications.</w:t>
      </w:r>
    </w:p>
    <w:p>
      <w:pPr>
        <w:pStyle w:val="ListBullet"/>
      </w:pPr>
      <w:r>
        <w:t>20 Stack and Layer Governance — ownership maps, stack references, invariants, diagrams, reader guidance, interface governance, and the Memory / Typed Relational Memory governance anchor.</w:t>
      </w:r>
    </w:p>
    <w:p>
      <w:r>
        <w:t>15 Operators / Operators Supporting — location of the Typed Relational Memory Operator Interface Addendum and other bounded operator-supporting specifications.</w:t>
      </w:r>
    </w:p>
    <w:p>
      <w:pPr>
        <w:pStyle w:val="ListBullet"/>
      </w:pPr>
      <w:r>
        <w:t>30 Applications and Extensions — selected Layer 3 applications and Layer 4 extensions; document status remains controlling where material is provisional-canonical or exploratory.</w:t>
      </w:r>
    </w:p>
    <w:p>
      <w:pPr>
        <w:pStyle w:val="ListBullet"/>
      </w:pPr>
      <w:r>
        <w:t>40 Runtime and Execution Formalization — the public runtime-boundary architecture, including setup/domain-frame guidance and tool-action admission.</w:t>
      </w:r>
    </w:p>
    <w:p>
      <w:pPr>
        <w:pStyle w:val="ListBullet"/>
      </w:pPr>
      <w:r>
        <w:t>50 Scalar Reduction Proof Program and 60 Benchmarks and Simulations — repository-facing README indexes that point to separately maintained authoritative public proof and promoted benchmark repositories.</w:t>
      </w:r>
    </w:p>
    <w:p>
      <w:pPr>
        <w:pStyle w:val="BodyText"/>
      </w:pPr>
      <w:r>
        <w:t>A serious implementation effort should not begin from benchmark code alone. It should begin from the architecture documents, because the code can only instantiate what the framework already licenses.</w:t>
      </w:r>
    </w:p>
    <w:p>
      <w:pPr>
        <w:pStyle w:val="Heading1"/>
      </w:pPr>
      <w:r>
        <w:t>8. Implementation warning for typed relational memory</w:t>
      </w:r>
    </w:p>
    <w:p>
      <w:pPr>
        <w:pStyle w:val="BodyText"/>
      </w:pPr>
      <w:r>
        <w:t>A later implementer should not treat typed relational memory as a simple score cache. The current benchmark sequence only works because memory types preserve distinctions that scalar trust or crude positive/negative memory would destroy.</w:t>
      </w:r>
    </w:p>
    <w:p>
      <w:pPr>
        <w:pStyle w:val="ListBullet"/>
      </w:pPr>
      <w:r>
        <w:t>Defection memory can require bounded guardrails without permanently eliminating all cooperation.</w:t>
      </w:r>
    </w:p>
    <w:p>
      <w:pPr>
        <w:pStyle w:val="ListBullet"/>
      </w:pPr>
      <w:r>
        <w:t>Successful guarded cooperation can support bounded rehabilitation without full unguarded reentry.</w:t>
      </w:r>
    </w:p>
    <w:p>
      <w:pPr>
        <w:pStyle w:val="ListBullet"/>
      </w:pPr>
      <w:r>
        <w:t>Generic recovery cannot substitute for a domain-specific recovery obligation where the domain-specific route is available and governing.</w:t>
      </w:r>
    </w:p>
    <w:p>
      <w:pPr>
        <w:pStyle w:val="ListBullet"/>
      </w:pPr>
      <w:r>
        <w:t>Reserve rebuilding must reconstruct corridors above floors, not simply prevent immediate collapse.</w:t>
      </w:r>
    </w:p>
    <w:p>
      <w:pPr>
        <w:pStyle w:val="ListBullet"/>
      </w:pPr>
      <w:r>
        <w:t>Crude memory may appear safer while actually suppressing candidate fields and overgeneralizing distrust.</w:t>
      </w:r>
    </w:p>
    <w:p>
      <w:pPr>
        <w:pStyle w:val="Heading1"/>
      </w:pPr>
      <w:r>
        <w:t>9. Benchmark-specific continuity note</w:t>
      </w:r>
    </w:p>
    <w:p>
      <w:pPr>
        <w:pStyle w:val="BodyText"/>
      </w:pPr>
      <w:r>
        <w:t>The superseded reader guide was written around the grenade benchmark. That older function is preserved here as an example of how this guide should be applied to benchmark repositories. In a grenade-benchmark repository, the benchmark should not be read as proving that sacrifice is “worth it” on a scalar score. It should be read as a constrained instantiation of the PV-PP framework in which sacrifice becomes selectable only through governing-domain pressure, feasibility, framing, adequacy, and non-scalar selection discipline. In a typed relational memory or agent-management repository, the same reader-guide structure applies, but the benchmark-specific bridge points shift toward cooperation propensity, learned guardrails, bounded rehabilitation, reserve reconstruction, and memory-conditioned candidate visibility.</w:t>
      </w:r>
    </w:p>
    <w:p>
      <w:pPr>
        <w:pStyle w:val="Heading1"/>
      </w:pPr>
      <w:r>
        <w:t>10. Bottom line</w:t>
      </w:r>
    </w:p>
    <w:p>
      <w:pPr>
        <w:pStyle w:val="BodyText"/>
      </w:pPr>
      <w:r>
        <w:t>This Reader Guide is included so that benchmarks, simulations, and implementation efforts can be read as constrained instantiations of a broader non-scalar decision architecture rather than as tuned scripts. Its job is to show the full current stack, explain why the included framework files matter, identify where typed relational memory belongs, preserve benchmark-specific continuity where needed, and direct the reader into the right part of the repository or master set. Under R24, cooperation propensity is a counterpart-indexed relational modifier routed through existing interfaces, not a new operator, scalar trust score, or selection input.</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PV-PP Framework — Reader Guide — v0.4 Merged</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