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Cross-Domain Core Schema and Application Mapping Reference</w:t>
      </w:r>
    </w:p>
    <w:p>
      <w:pPr>
        <w:jc w:val="center"/>
      </w:pPr>
      <w:r>
        <w:rPr>
          <w:b/>
        </w:rPr>
        <w:t>Version v0.1 - Version 2 Cross-Domain Portability Reference</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t>Document type</w:t>
            </w:r>
          </w:p>
        </w:tc>
        <w:tc>
          <w:tcPr>
            <w:tcW w:type="dxa" w:w="4968"/>
            <w:vAlign w:val="top"/>
          </w:tcPr>
          <w:p>
            <w:r>
              <w:t>Architecture-support / application-mapping reference</w:t>
            </w:r>
          </w:p>
        </w:tc>
      </w:tr>
      <w:tr>
        <w:tc>
          <w:tcPr>
            <w:tcW w:type="dxa" w:w="4968"/>
            <w:vAlign w:val="top"/>
          </w:tcPr>
          <w:p>
            <w:r>
              <w:t>Status</w:t>
            </w:r>
          </w:p>
        </w:tc>
        <w:tc>
          <w:tcPr>
            <w:tcW w:type="dxa" w:w="4968"/>
            <w:vAlign w:val="top"/>
          </w:tcPr>
          <w:p>
            <w:r>
              <w:t>Version 2 supporting reference</w:t>
            </w:r>
          </w:p>
        </w:tc>
      </w:tr>
      <w:tr>
        <w:tc>
          <w:tcPr>
            <w:tcW w:type="dxa" w:w="4968"/>
            <w:vAlign w:val="top"/>
          </w:tcPr>
          <w:p>
            <w:r>
              <w:t>Primary folder</w:t>
            </w:r>
          </w:p>
        </w:tc>
        <w:tc>
          <w:tcPr>
            <w:tcW w:type="dxa" w:w="4968"/>
            <w:vAlign w:val="top"/>
          </w:tcPr>
          <w:p>
            <w:r>
              <w:t>30 Applications and Extensions</w:t>
            </w:r>
          </w:p>
        </w:tc>
      </w:tr>
      <w:tr>
        <w:tc>
          <w:tcPr>
            <w:tcW w:type="dxa" w:w="4968"/>
            <w:vAlign w:val="top"/>
          </w:tcPr>
          <w:p>
            <w:r>
              <w:t>Authority boundary</w:t>
            </w:r>
          </w:p>
        </w:tc>
        <w:tc>
          <w:tcPr>
            <w:tcW w:type="dxa" w:w="4968"/>
            <w:vAlign w:val="top"/>
          </w:tcPr>
          <w:p>
            <w:r>
              <w:t>Collects portable framework objects and mapping obligations; owns no canonical primitive, operator, or definition.</w:t>
            </w:r>
          </w:p>
        </w:tc>
      </w:tr>
      <w:tr>
        <w:tc>
          <w:tcPr>
            <w:tcW w:type="dxa" w:w="4968"/>
            <w:vAlign w:val="top"/>
          </w:tcPr>
          <w:p>
            <w:r>
              <w:t>Primary dependency</w:t>
            </w:r>
          </w:p>
        </w:tc>
        <w:tc>
          <w:tcPr>
            <w:tcW w:type="dxa" w:w="4968"/>
            <w:vAlign w:val="top"/>
          </w:tcPr>
          <w:p>
            <w:r>
              <w:t>Layer 3 application/adapter boundary and the current owning framework specifications.</w:t>
            </w:r>
          </w:p>
        </w:tc>
      </w:tr>
    </w:tbl>
    <w:p>
      <w:pPr>
        <w:pStyle w:val="Heading1"/>
      </w:pPr>
      <w:r>
        <w:t>1. Purpose</w:t>
      </w:r>
    </w:p>
    <w:p>
      <w:r>
        <w:t>This reference defines the implementation-neutral core schema that a domain application should be able to represent when applying the Productive Value-Productive Power (PV-PP) framework. Its purpose is portability: economics, engineering, biology, organizational analysis, AI-agent governance, simulations, empirical studies, and other domains should be able to map their native objects and mechanics into a stable PV-PP vocabulary without changing that vocabulary merely to make the domain fit.</w:t>
      </w:r>
    </w:p>
    <w:p>
      <w:r>
        <w:t>This document is not a new canonical state object, not an operator, not a new layer, and not an independent source of ontological definitions. Where this reference conflicts with an owning specification, the owning specification governs.</w:t>
      </w:r>
    </w:p>
    <w:p>
      <w:pPr>
        <w:pStyle w:val="Heading1"/>
      </w:pPr>
      <w:r>
        <w:t>2. Authority and Non-Expansion Rule</w:t>
      </w:r>
    </w:p>
    <w:p>
      <w:r>
        <w:t>The schema is a collection and mapping surface. Canonical State Object authority owns the meanings of actual and perceived state objects; Layer 1 owns ontological state and transition semantics; the operator specifications own Layer 2 transformations and gates; supporting owner specifications govern resource transformation, reachability, adequacy, collective qualification, coordination, measurement, and related concepts; Layer 3 owns the application-side mapping boundary.</w:t>
      </w:r>
    </w:p>
    <w:p>
      <w:r>
        <w:t>Cross-domain usefulness does not authorize semantic expansion. An application must not relabel ordinary domain variables as PV, PP, SPV, viability, recovery, or another PV-PP object solely because the label is convenient. A mismatch that cannot be resolved under the existing meanings is a framework limitation or research question, not an adapter license.</w:t>
      </w:r>
    </w:p>
    <w:p>
      <w:pPr>
        <w:pStyle w:val="Heading1"/>
      </w:pPr>
      <w:r>
        <w:t>3. Portable Core Schema</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Schema object</w:t>
            </w:r>
          </w:p>
        </w:tc>
        <w:tc>
          <w:tcPr>
            <w:tcW w:type="dxa" w:w="3312"/>
          </w:tcPr>
          <w:p>
            <w:r>
              <w:t>Portable meaning</w:t>
            </w:r>
          </w:p>
        </w:tc>
        <w:tc>
          <w:tcPr>
            <w:tcW w:type="dxa" w:w="3312"/>
          </w:tcPr>
          <w:p>
            <w:r>
              <w:t>Boundary / mapping rule</w:t>
            </w:r>
          </w:p>
        </w:tc>
      </w:tr>
      <w:tr>
        <w:tc>
          <w:tcPr>
            <w:tcW w:type="dxa" w:w="3312"/>
            <w:vAlign w:val="top"/>
          </w:tcPr>
          <w:p>
            <w:r>
              <w:t>Persistence-bearing entity / analysis level</w:t>
            </w:r>
          </w:p>
        </w:tc>
        <w:tc>
          <w:tcPr>
            <w:tcW w:type="dxa" w:w="3312"/>
            <w:vAlign w:val="top"/>
          </w:tcPr>
          <w:p>
            <w:r>
              <w:t>The entity or entities whose persistent condition is modeled, including the level at which state, viability, and transition are attributed.</w:t>
            </w:r>
          </w:p>
        </w:tc>
        <w:tc>
          <w:tcPr>
            <w:tcW w:type="dxa" w:w="3312"/>
            <w:vAlign w:val="top"/>
          </w:tcPr>
          <w:p>
            <w:r>
              <w:t>Entity qualification and level must be explicit; a group or organization is not automatically a persistence-bearing entity.</w:t>
            </w:r>
          </w:p>
        </w:tc>
      </w:tr>
      <w:tr>
        <w:tc>
          <w:tcPr>
            <w:tcW w:type="dxa" w:w="3312"/>
            <w:vAlign w:val="top"/>
          </w:tcPr>
          <w:p>
            <w:r>
              <w:t>Actual persistent state S_i(t)</w:t>
            </w:r>
          </w:p>
        </w:tc>
        <w:tc>
          <w:tcPr>
            <w:tcW w:type="dxa" w:w="3312"/>
            <w:vAlign w:val="top"/>
          </w:tcPr>
          <w:p>
            <w:r>
              <w:t>The broader actual state carried across time. Current state authority includes PP_i(t), SPV_i(t), AVS_i(t), and relevant actual context X_i(t).</w:t>
            </w:r>
          </w:p>
        </w:tc>
        <w:tc>
          <w:tcPr>
            <w:tcW w:type="dxa" w:w="3312"/>
            <w:vAlign w:val="top"/>
          </w:tcPr>
          <w:p>
            <w:r>
              <w:t>PP is a component of actual persistent state, not the whole state.</w:t>
            </w:r>
          </w:p>
        </w:tc>
      </w:tr>
      <w:tr>
        <w:tc>
          <w:tcPr>
            <w:tcW w:type="dxa" w:w="3312"/>
            <w:vAlign w:val="top"/>
          </w:tcPr>
          <w:p>
            <w:r>
              <w:t>Productive Power PP</w:t>
            </w:r>
          </w:p>
        </w:tc>
        <w:tc>
          <w:tcPr>
            <w:tcW w:type="dxa" w:w="3312"/>
            <w:vAlign w:val="top"/>
          </w:tcPr>
          <w:p>
            <w:r>
              <w:t>Actual productive capability under stated conditions to generate, transform, coordinate, deploy, preserve, protect, recover, or otherwise produce PV.</w:t>
            </w:r>
          </w:p>
        </w:tc>
        <w:tc>
          <w:tcPr>
            <w:tcW w:type="dxa" w:w="3312"/>
            <w:vAlign w:val="top"/>
          </w:tcPr>
          <w:p>
            <w:r>
              <w:t>Possession, ownership, access, permission, reserves, opportunity, favorable context, or institutional standing are not PP merely because they affect outcomes.</w:t>
            </w:r>
          </w:p>
        </w:tc>
      </w:tr>
      <w:tr>
        <w:tc>
          <w:tcPr>
            <w:tcW w:type="dxa" w:w="3312"/>
            <w:vAlign w:val="top"/>
          </w:tcPr>
          <w:p>
            <w:r>
              <w:t>Productive Value PV</w:t>
            </w:r>
          </w:p>
        </w:tc>
        <w:tc>
          <w:tcPr>
            <w:tcW w:type="dxa" w:w="3312"/>
            <w:vAlign w:val="top"/>
          </w:tcPr>
          <w:p>
            <w:r>
              <w:t>Value that qualifies through the modeled productive event or interaction under the framework's role rules.</w:t>
            </w:r>
          </w:p>
        </w:tc>
        <w:tc>
          <w:tcPr>
            <w:tcW w:type="dxa" w:w="3312"/>
            <w:vAlign w:val="top"/>
          </w:tcPr>
          <w:p>
            <w:r>
              <w:t>The application must identify the event or interaction through which PV is transferred, delivered, realized, imposed, or conveyed; importance or favorable consequence alone is insufficient.</w:t>
            </w:r>
          </w:p>
        </w:tc>
      </w:tr>
      <w:tr>
        <w:tc>
          <w:tcPr>
            <w:tcW w:type="dxa" w:w="3312"/>
            <w:vAlign w:val="top"/>
          </w:tcPr>
          <w:p>
            <w:r>
              <w:t>Stored Productive Value SPV / reserve</w:t>
            </w:r>
          </w:p>
        </w:tc>
        <w:tc>
          <w:tcPr>
            <w:tcW w:type="dxa" w:w="3312"/>
            <w:vAlign w:val="top"/>
          </w:tcPr>
          <w:p>
            <w:r>
              <w:t>Realized PV retained across time for later use, transfer, expenditure, exchange, consumption, or conversion. Reserve is a functional description and may be SPV or another explicitly typed resource.</w:t>
            </w:r>
          </w:p>
        </w:tc>
        <w:tc>
          <w:tcPr>
            <w:tcW w:type="dxa" w:w="3312"/>
            <w:vAlign w:val="top"/>
          </w:tcPr>
          <w:p>
            <w:r>
              <w:t>SPV is not automatically PP. A reserve does not establish recovery capability merely by existing.</w:t>
            </w:r>
          </w:p>
        </w:tc>
      </w:tr>
      <w:tr>
        <w:tc>
          <w:tcPr>
            <w:tcW w:type="dxa" w:w="3312"/>
            <w:vAlign w:val="top"/>
          </w:tcPr>
          <w:p>
            <w:r>
              <w:t>Access / possession / control / operability</w:t>
            </w:r>
          </w:p>
        </w:tc>
        <w:tc>
          <w:tcPr>
            <w:tcW w:type="dxa" w:w="3312"/>
            <w:vAlign w:val="top"/>
          </w:tcPr>
          <w:p>
            <w:r>
              <w:t>Conditions determining whether an asset, holding, claim, tool, relationship, or pathway can actually be used under current conditions.</w:t>
            </w:r>
          </w:p>
        </w:tc>
        <w:tc>
          <w:tcPr>
            <w:tcW w:type="dxa" w:w="3312"/>
            <w:vAlign w:val="top"/>
          </w:tcPr>
          <w:p>
            <w:r>
              <w:t>Nominal existence or ownership must not be collapsed into usable capability.</w:t>
            </w:r>
          </w:p>
        </w:tc>
      </w:tr>
      <w:tr>
        <w:tc>
          <w:tcPr>
            <w:tcW w:type="dxa" w:w="3312"/>
            <w:vAlign w:val="top"/>
          </w:tcPr>
          <w:p>
            <w:r>
              <w:t>Configuration / joint feasibility</w:t>
            </w:r>
          </w:p>
        </w:tc>
        <w:tc>
          <w:tcPr>
            <w:tcW w:type="dxa" w:w="3312"/>
            <w:vAlign w:val="top"/>
          </w:tcPr>
          <w:p>
            <w:r>
              <w:t>The arrangement of agents, skills, tools, infrastructure, counterparties, permissions, resources, timing, and environment on which capability or execution may depend.</w:t>
            </w:r>
          </w:p>
        </w:tc>
        <w:tc>
          <w:tcPr>
            <w:tcW w:type="dxa" w:w="3312"/>
            <w:vAlign w:val="top"/>
          </w:tcPr>
          <w:p>
            <w:r>
              <w:t>Joint or configuration-dependent capability need not equal the sum of component PP. No relational-PP primitive is implied.</w:t>
            </w:r>
          </w:p>
        </w:tc>
      </w:tr>
      <w:tr>
        <w:tc>
          <w:tcPr>
            <w:tcW w:type="dxa" w:w="3312"/>
            <w:vAlign w:val="top"/>
          </w:tcPr>
          <w:p>
            <w:r>
              <w:t>Viability / governing domains</w:t>
            </w:r>
          </w:p>
        </w:tc>
        <w:tc>
          <w:tcPr>
            <w:tcW w:type="dxa" w:w="3312"/>
            <w:vAlign w:val="top"/>
          </w:tcPr>
          <w:p>
            <w:r>
              <w:t>Domain-structured conditions, thresholds, margins, continuity requirements, and governing-domain structure relevant to persistence and decision admission.</w:t>
            </w:r>
          </w:p>
        </w:tc>
        <w:tc>
          <w:tcPr>
            <w:tcW w:type="dxa" w:w="3312"/>
            <w:vAlign w:val="top"/>
          </w:tcPr>
          <w:p>
            <w:r>
              <w:t>Domains remain typed and non-scalar unless an owning specification explicitly licenses another representation.</w:t>
            </w:r>
          </w:p>
        </w:tc>
      </w:tr>
      <w:tr>
        <w:tc>
          <w:tcPr>
            <w:tcW w:type="dxa" w:w="3312"/>
            <w:vAlign w:val="top"/>
          </w:tcPr>
          <w:p>
            <w:r>
              <w:t>Transition T_i</w:t>
            </w:r>
          </w:p>
        </w:tc>
        <w:tc>
          <w:tcPr>
            <w:tcW w:type="dxa" w:w="3312"/>
            <w:vAlign w:val="top"/>
          </w:tcPr>
          <w:p>
            <w:r>
              <w:t>The actual-state transition by which realized events, execution, environmental effects, damage, learning effects, maintenance, reconfiguration, transfers, and other modeled causes update persistent state.</w:t>
            </w:r>
          </w:p>
        </w:tc>
        <w:tc>
          <w:tcPr>
            <w:tcW w:type="dxa" w:w="3312"/>
            <w:vAlign w:val="top"/>
          </w:tcPr>
          <w:p>
            <w:r>
              <w:t>Experience or history is not automatically PP; durable capability change appears through transition when actual capability changes.</w:t>
            </w:r>
          </w:p>
        </w:tc>
      </w:tr>
      <w:tr>
        <w:tc>
          <w:tcPr>
            <w:tcW w:type="dxa" w:w="3312"/>
            <w:vAlign w:val="top"/>
          </w:tcPr>
          <w:p>
            <w:r>
              <w:t>Projection / reachability</w:t>
            </w:r>
          </w:p>
        </w:tc>
        <w:tc>
          <w:tcPr>
            <w:tcW w:type="dxa" w:w="3312"/>
            <w:vAlign w:val="top"/>
          </w:tcPr>
          <w:p>
            <w:r>
              <w:t>Policy-conditioned future structure describing reachable states, trajectories, action paths, and relevant collapse or persistence conditions.</w:t>
            </w:r>
          </w:p>
        </w:tc>
        <w:tc>
          <w:tcPr>
            <w:tcW w:type="dxa" w:w="3312"/>
            <w:vAlign w:val="top"/>
          </w:tcPr>
          <w:p>
            <w:r>
              <w:t>Projection and reachability do not themselves select a policy.</w:t>
            </w:r>
          </w:p>
        </w:tc>
      </w:tr>
      <w:tr>
        <w:tc>
          <w:tcPr>
            <w:tcW w:type="dxa" w:w="3312"/>
            <w:vAlign w:val="top"/>
          </w:tcPr>
          <w:p>
            <w:r>
              <w:t>Closure / reopening / corridor structure</w:t>
            </w:r>
          </w:p>
        </w:tc>
        <w:tc>
          <w:tcPr>
            <w:tcW w:type="dxa" w:w="3312"/>
            <w:vAlign w:val="top"/>
          </w:tcPr>
          <w:p>
            <w:r>
              <w:t>Changes in reachable viable future states, policies, interactions, or recovery paths, including loss, reopening, replacement, or contraction of future structure.</w:t>
            </w:r>
          </w:p>
        </w:tc>
        <w:tc>
          <w:tcPr>
            <w:tcW w:type="dxa" w:w="3312"/>
            <w:vAlign w:val="top"/>
          </w:tcPr>
          <w:p>
            <w:r>
              <w:t>Interaction corridor is descriptive/derived reachability language, not a new primitive.</w:t>
            </w:r>
          </w:p>
        </w:tc>
      </w:tr>
      <w:tr>
        <w:tc>
          <w:tcPr>
            <w:tcW w:type="dxa" w:w="3312"/>
            <w:vAlign w:val="top"/>
          </w:tcPr>
          <w:p>
            <w:r>
              <w:t>Recovery capability</w:t>
            </w:r>
          </w:p>
        </w:tc>
        <w:tc>
          <w:tcPr>
            <w:tcW w:type="dxa" w:w="3312"/>
            <w:vAlign w:val="top"/>
          </w:tcPr>
          <w:p>
            <w:r>
              <w:t>Actual productive capability to preserve, restore, rebuild, or recover relevant productive or viability conditions under stated conditions.</w:t>
            </w:r>
          </w:p>
        </w:tc>
        <w:tc>
          <w:tcPr>
            <w:tcW w:type="dxa" w:w="3312"/>
            <w:vAlign w:val="top"/>
          </w:tcPr>
          <w:p>
            <w:r>
              <w:t>Recovery capability must be distinguished from reserves, nominal support, and hoped-for future assistance.</w:t>
            </w:r>
          </w:p>
        </w:tc>
      </w:tr>
      <w:tr>
        <w:tc>
          <w:tcPr>
            <w:tcW w:type="dxa" w:w="3312"/>
            <w:vAlign w:val="top"/>
          </w:tcPr>
          <w:p>
            <w:r>
              <w:t>Recovery reachability / adequacy</w:t>
            </w:r>
          </w:p>
        </w:tc>
        <w:tc>
          <w:tcPr>
            <w:tcW w:type="dxa" w:w="3312"/>
            <w:vAlign w:val="top"/>
          </w:tcPr>
          <w:p>
            <w:r>
              <w:t>The policy-conditioned existence of a viable path that survives to recovery entry and admits jointly sustainable continuation for the framed governing target.</w:t>
            </w:r>
          </w:p>
        </w:tc>
        <w:tc>
          <w:tcPr>
            <w:tcW w:type="dxa" w:w="3312"/>
            <w:vAlign w:val="top"/>
          </w:tcPr>
          <w:p>
            <w:r>
              <w:t>The existence of a reserve, substitute, future inflow, or local improvement does not establish a recovery corridor.</w:t>
            </w:r>
          </w:p>
        </w:tc>
      </w:tr>
      <w:tr>
        <w:tc>
          <w:tcPr>
            <w:tcW w:type="dxa" w:w="3312"/>
            <w:vAlign w:val="top"/>
          </w:tcPr>
          <w:p>
            <w:r>
              <w:t>Perceived decision state P_i(t)</w:t>
            </w:r>
          </w:p>
        </w:tc>
        <w:tc>
          <w:tcPr>
            <w:tcW w:type="dxa" w:w="3312"/>
            <w:vAlign w:val="top"/>
          </w:tcPr>
          <w:p>
            <w:r>
              <w:t>The structured perceived interface used by decision architecture, including perceived productive capability PPP_i(t) and other licensed perceived components.</w:t>
            </w:r>
          </w:p>
        </w:tc>
        <w:tc>
          <w:tcPr>
            <w:tcW w:type="dxa" w:w="3312"/>
            <w:vAlign w:val="top"/>
          </w:tcPr>
          <w:p>
            <w:r>
              <w:t>PPP is perceived productive capability, not the complete perceived state. Actual and perceived objects must remain distinct.</w:t>
            </w:r>
          </w:p>
        </w:tc>
      </w:tr>
    </w:tbl>
    <w:p>
      <w:pPr>
        <w:pStyle w:val="Heading1"/>
      </w:pPr>
      <w:r>
        <w:t>4. Productive-Role Qualification</w:t>
      </w:r>
    </w:p>
    <w:p>
      <w:r>
        <w:t>Before assigning PV, SPV, or PP labels, the application must perform Productive-Role Qualification. The qualification is based on the modeled event, state, and conditions rather than on an object's everyday name, accounting category, usefulness, price, ownership, or general importance.</w:t>
      </w:r>
    </w:p>
    <w:p>
      <w:pPr>
        <w:pStyle w:val="ListBullet"/>
      </w:pPr>
      <w:r>
        <w:t>PV qualification: identify what counts as PV and the event or interaction that realizes or conveys it.</w:t>
      </w:r>
    </w:p>
    <w:p>
      <w:pPr>
        <w:pStyle w:val="ListBullet"/>
      </w:pPr>
      <w:r>
        <w:t>SPV qualification: identify retained realized PV, the basis of retention, and the conditions under which it remains usable, transferable, consumable, expendable, or convertible.</w:t>
      </w:r>
    </w:p>
    <w:p>
      <w:pPr>
        <w:pStyle w:val="ListBullet"/>
      </w:pPr>
      <w:r>
        <w:t>PP qualification: identify the actual capability and the conditions under which the entity can exercise that capability.</w:t>
      </w:r>
    </w:p>
    <w:p>
      <w:pPr>
        <w:pStyle w:val="ListBullet"/>
      </w:pPr>
      <w:r>
        <w:t>Role-transition qualification: identify explicit conditions under which an object changes role, including PV to SPV, SPV deployment or conversion into PP, PP degradation, or mixed-role asset use.</w:t>
      </w:r>
    </w:p>
    <w:p>
      <w:pPr>
        <w:pStyle w:val="Heading1"/>
      </w:pPr>
      <w:r>
        <w:t>5. Application-Side Declaration</w:t>
      </w:r>
    </w:p>
    <w:p>
      <w:r>
        <w:t>A portable application should provide a declaration sufficient to audit how native domain objects enter the schema. The declaration may be prose, a table, a machine-readable registration record, or another implementation form, but its semantic content should be equivalent.</w:t>
      </w:r>
    </w:p>
    <w:p>
      <w:pPr>
        <w:pStyle w:val="ListNumber"/>
      </w:pPr>
      <w:r>
        <w:t>Modeled entity or entities, persistence boundary, and analysis level.</w:t>
      </w:r>
    </w:p>
    <w:p>
      <w:pPr>
        <w:pStyle w:val="ListNumber"/>
      </w:pPr>
      <w:r>
        <w:t>Native state variables and their mapping into S_i(t), including PP, SPV, AVS, and relevant context where applicable.</w:t>
      </w:r>
    </w:p>
    <w:p>
      <w:pPr>
        <w:pStyle w:val="ListNumber"/>
      </w:pPr>
      <w:r>
        <w:t>PV, SPV, and PP Productive-Role Qualification and any explicit role transitions.</w:t>
      </w:r>
    </w:p>
    <w:p>
      <w:pPr>
        <w:pStyle w:val="ListNumber"/>
      </w:pPr>
      <w:r>
        <w:t>Access, possession, control, operability, compatibility, timing, authority, permission, and institutional conditions that materially gate use.</w:t>
      </w:r>
    </w:p>
    <w:p>
      <w:pPr>
        <w:pStyle w:val="ListNumber"/>
      </w:pPr>
      <w:r>
        <w:t>Configuration and joint-feasibility dependencies.</w:t>
      </w:r>
    </w:p>
    <w:p>
      <w:pPr>
        <w:pStyle w:val="ListNumber"/>
      </w:pPr>
      <w:r>
        <w:t>Viability domains, thresholds, margins, reserves, commitments, continuity requirements, and governing-domain candidates.</w:t>
      </w:r>
    </w:p>
    <w:p>
      <w:pPr>
        <w:pStyle w:val="ListNumber"/>
      </w:pPr>
      <w:r>
        <w:t>External transition or causal mechanics by which actions and events change the modeled world.</w:t>
      </w:r>
    </w:p>
    <w:p>
      <w:pPr>
        <w:pStyle w:val="ListNumber"/>
      </w:pPr>
      <w:r>
        <w:t>Candidate action or policy surface and application-owned feasibility facts.</w:t>
      </w:r>
    </w:p>
    <w:p>
      <w:pPr>
        <w:pStyle w:val="ListNumber"/>
      </w:pPr>
      <w:r>
        <w:t>Projection/reachability inputs or hooks needed for policy-conditioned trajectories, closure, recovery, and consequences.</w:t>
      </w:r>
    </w:p>
    <w:p>
      <w:pPr>
        <w:pStyle w:val="ListNumber"/>
      </w:pPr>
      <w:r>
        <w:t>Execution/outcome return path by which realized effects update actual state and later perception.</w:t>
      </w:r>
    </w:p>
    <w:p>
      <w:pPr>
        <w:pStyle w:val="Heading1"/>
      </w:pPr>
      <w:r>
        <w:t>6. Framework / Domain Mechanics Boundary</w:t>
      </w:r>
    </w:p>
    <w:p>
      <w:r>
        <w:t>PV-PP supplies the common ontology, decision architecture, and owned structural distinctions. The external application supplies ordinary domain mechanics. Examples include physical equations, biological processes, engineering failure models, market-clearing mechanisms, institutional procedures, environment dynamics, empirical measurement systems, and scenario-specific causal rules.</w:t>
      </w:r>
    </w:p>
    <w:p>
      <w:r>
        <w:t>Domain mechanics may determine whether a mapped capability is operable, whether a resource is accessible, what an action physically causes, or whether a projected trajectory is credible. They do not thereby become new PV-PP primitives or operators.</w:t>
      </w:r>
    </w:p>
    <w:p>
      <w:pPr>
        <w:pStyle w:val="Heading1"/>
      </w:pPr>
      <w:r>
        <w:t>7. Role Transitions Without Ontological Collapse</w:t>
      </w:r>
    </w:p>
    <w:p>
      <w:r>
        <w:t>The same external object may legitimately occupy different PV-PP roles at different times or under different configurations. The mapping must represent the transition rather than permanently classifying the object by name.</w:t>
      </w:r>
    </w:p>
    <w:tbl>
      <w:tblPr>
        <w:tblStyle w:val="TableGrid"/>
        <w:tblW w:type="auto" w:w="0"/>
        <w:tblLook w:firstColumn="1" w:firstRow="1" w:lastColumn="0" w:lastRow="0" w:noHBand="0" w:noVBand="1" w:val="04A0"/>
      </w:tblPr>
      <w:tblGrid>
        <w:gridCol w:w="4968"/>
        <w:gridCol w:w="4968"/>
      </w:tblGrid>
      <w:tr>
        <w:tc>
          <w:tcPr>
            <w:tcW w:type="dxa" w:w="4968"/>
          </w:tcPr>
          <w:p>
            <w:r>
              <w:t>Example</w:t>
            </w:r>
          </w:p>
        </w:tc>
        <w:tc>
          <w:tcPr>
            <w:tcW w:type="dxa" w:w="4968"/>
          </w:tcPr>
          <w:p>
            <w:r>
              <w:t>Required interpretation</w:t>
            </w:r>
          </w:p>
        </w:tc>
      </w:tr>
      <w:tr>
        <w:tc>
          <w:tcPr>
            <w:tcW w:type="dxa" w:w="4968"/>
          </w:tcPr>
          <w:p>
            <w:r>
              <w:t>Money</w:t>
            </w:r>
          </w:p>
        </w:tc>
        <w:tc>
          <w:tcPr>
            <w:tcW w:type="dxa" w:w="4968"/>
          </w:tcPr>
          <w:p>
            <w:r>
              <w:t>Ordinarily claim-based SPV while retained. Expenditure can acquire PV or contribute to a later configuration in which actual PP exists; the balance itself is not automatically PP.</w:t>
            </w:r>
          </w:p>
        </w:tc>
      </w:tr>
      <w:tr>
        <w:tc>
          <w:tcPr>
            <w:tcW w:type="dxa" w:w="4968"/>
          </w:tcPr>
          <w:p>
            <w:r>
              <w:t>Tool or technology</w:t>
            </w:r>
          </w:p>
        </w:tc>
        <w:tc>
          <w:tcPr>
            <w:tcW w:type="dxa" w:w="4968"/>
          </w:tcPr>
          <w:p>
            <w:r>
              <w:t>Possession may be a holding or enabling condition. It contributes to PP when the configured entity actually has productive capability under the relevant operating conditions.</w:t>
            </w:r>
          </w:p>
        </w:tc>
      </w:tr>
      <w:tr>
        <w:tc>
          <w:tcPr>
            <w:tcW w:type="dxa" w:w="4968"/>
          </w:tcPr>
          <w:p>
            <w:r>
              <w:t>Stored food or reserve</w:t>
            </w:r>
          </w:p>
        </w:tc>
        <w:tc>
          <w:tcPr>
            <w:tcW w:type="dxa" w:w="4968"/>
          </w:tcPr>
          <w:p>
            <w:r>
              <w:t>SPV/reserve while retained. It may preserve viability or bridge time without becoming productive capability merely because it extends survival.</w:t>
            </w:r>
          </w:p>
        </w:tc>
      </w:tr>
    </w:tbl>
    <w:p>
      <w:pPr>
        <w:pStyle w:val="Heading1"/>
      </w:pPr>
      <w:r>
        <w:t>8. Recovery Separation</w:t>
      </w:r>
    </w:p>
    <w:p>
      <w:r>
        <w:t>Portable applications must preserve the distinction among reserve, recovery capability, and recovery reachability. A reserve is a retained or available resource. Recovery capability is actual capacity to use relevant resources and conditions to preserve, restore, or rebuild productive or viability state. Recovery reachability is the policy-conditioned existence of a viable path through which the required support and capability become usable in time and lead into sustainable continuation.</w:t>
      </w:r>
    </w:p>
    <w:p>
      <w:r>
        <w:t>Present support, projection-grounded expected support, and unsupported hope are not equivalent. Likewise, a nominal substitute, future inflow, or accessible resource does not establish adequacy unless the modeled path preserves viability until recovery entry and supports the required joint sustainment.</w:t>
      </w:r>
    </w:p>
    <w:p>
      <w:pPr>
        <w:pStyle w:val="Heading1"/>
      </w:pPr>
      <w:r>
        <w:t>9. Runtime and Implementation Boundary</w:t>
      </w:r>
    </w:p>
    <w:p>
      <w:r>
        <w:t>This schema is independent of any particular runtime. A runtime may implement registration, validation, serialization, callbacks, pass-through execution, error propagation, monitoring, completion verification, trace, or recovery interfaces. Those are implementation mechanisms. The semantic mapping defined here should remain inspectable and portable across runtime implementations.</w:t>
      </w:r>
    </w:p>
    <w:p>
      <w:r>
        <w:t>Runtime convenience must not silently redefine framework meanings, collapse actual and perceived state, infer PP from possession or permission, infer recovery from reserves, bypass Productive-Role Qualification, or treat feasibility, adequacy, selection, and execution authorization as interchangeable.</w:t>
      </w:r>
    </w:p>
    <w:p>
      <w:pPr>
        <w:pStyle w:val="Heading1"/>
      </w:pPr>
      <w:r>
        <w:t>10. No New Portability Primitive</w:t>
      </w:r>
    </w:p>
    <w:p>
      <w:r>
        <w:t>Cross-domain portability is achieved through disciplined mapping into existing framework objects and owned relations. This schema does not introduce Productive System, Experience, Learning, Relational PP, Regenerative PP, Technology PP, Interaction Corridor, or another portability-specific primitive.</w:t>
      </w:r>
    </w:p>
    <w:p>
      <w:r>
        <w:t>If repeated applications reveal a genuine phenomenon that cannot be represented without distorting existing meanings, that result should be recorded for separate framework research and authority review.</w:t>
      </w:r>
    </w:p>
    <w:p>
      <w:pPr>
        <w:pStyle w:val="Heading1"/>
      </w:pPr>
      <w:r>
        <w:t>11. Minimal Conformance Test</w:t>
      </w:r>
    </w:p>
    <w:p>
      <w:r>
        <w:t>An application conforms to this reference when all applicable answers below are explicit and auditable:</w:t>
      </w:r>
    </w:p>
    <w:p>
      <w:pPr>
        <w:pStyle w:val="ListBullet"/>
      </w:pPr>
      <w:r>
        <w:t>What is the persistence-bearing entity and analysis level?</w:t>
      </w:r>
    </w:p>
    <w:p>
      <w:pPr>
        <w:pStyle w:val="ListBullet"/>
      </w:pPr>
      <w:r>
        <w:t>What is actual state, and which part of it is PP rather than SPV, viability, or context?</w:t>
      </w:r>
    </w:p>
    <w:p>
      <w:pPr>
        <w:pStyle w:val="ListBullet"/>
      </w:pPr>
      <w:r>
        <w:t>What event or interaction qualifies the modeled PV?</w:t>
      </w:r>
    </w:p>
    <w:p>
      <w:pPr>
        <w:pStyle w:val="ListBullet"/>
      </w:pPr>
      <w:r>
        <w:t>What retained realized value qualifies as SPV or reserve?</w:t>
      </w:r>
    </w:p>
    <w:p>
      <w:pPr>
        <w:pStyle w:val="ListBullet"/>
      </w:pPr>
      <w:r>
        <w:t>What access, control, operability, configuration, counterparty, timing, permission, or institutional conditions gate actual capability?</w:t>
      </w:r>
    </w:p>
    <w:p>
      <w:pPr>
        <w:pStyle w:val="ListBullet"/>
      </w:pPr>
      <w:r>
        <w:t>What makes joint actions jointly feasible or infeasible?</w:t>
      </w:r>
    </w:p>
    <w:p>
      <w:pPr>
        <w:pStyle w:val="ListBullet"/>
      </w:pPr>
      <w:r>
        <w:t>What are the viability domains, thresholds, and governing conditions?</w:t>
      </w:r>
    </w:p>
    <w:p>
      <w:pPr>
        <w:pStyle w:val="ListBullet"/>
      </w:pPr>
      <w:r>
        <w:t>What transition mechanics change actual state?</w:t>
      </w:r>
    </w:p>
    <w:p>
      <w:pPr>
        <w:pStyle w:val="ListBullet"/>
      </w:pPr>
      <w:r>
        <w:t>What future states and paths are reachable under candidate policies?</w:t>
      </w:r>
    </w:p>
    <w:p>
      <w:pPr>
        <w:pStyle w:val="ListBullet"/>
      </w:pPr>
      <w:r>
        <w:t>What closure or reopening occurs, and what recovery capability and recovery corridor actually exist?</w:t>
      </w:r>
    </w:p>
    <w:p>
      <w:pPr>
        <w:pStyle w:val="ListBullet"/>
      </w:pPr>
      <w:r>
        <w:t>What is perceived rather than actual, and how is PPP kept distinct from the complete perceived state?</w:t>
      </w:r>
    </w:p>
    <w:p>
      <w:pPr>
        <w:pStyle w:val="Heading1"/>
      </w:pPr>
      <w:r>
        <w:t>12. Relationship to the Current System Object Map</w:t>
      </w:r>
    </w:p>
    <w:p>
      <w:r>
        <w:t>The Current System Object Map and Layer Interaction Overview remains the navigation aid for objects moving through the active PV-PP stack. This cross-domain schema serves a different purpose: it tells an external application which stable framework objects and distinctions it must be able to map before those objects can move through that architecture.</w:t>
      </w:r>
    </w:p>
    <w:p>
      <w:r>
        <w:t>The two documents should therefore remain separate. The system object map describes internal architectural flow; this reference describes the portable application-facing semantic surface.</w:t>
      </w:r>
    </w:p>
    <w:p>
      <w:pPr>
        <w:pStyle w:val="Heading1"/>
      </w:pPr>
      <w:r>
        <w:t>13. Summary</w:t>
      </w:r>
    </w:p>
    <w:p>
      <w:r>
        <w:t>The portable PV-PP core is not a single scalar, a single state variable, or a domain-specific vocabulary. It is a typed structural schema linking persistent state, productive capability, realized and stored value, access and configuration, viability, transition, reachability, closure, and recovery while preserving the distinction between actual and perceived decision state.</w:t>
      </w:r>
    </w:p>
    <w:p>
      <w:r>
        <w:t>Applications remain free to use their own native mechanics and representations. Portability requires only that the mapping into PV-PP be explicit, role-qualified, non-scalar where the framework requires non-scalar structure, and subordinate to the owning framework specifications.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PV-PP Cross-Domain Core Schema and Application Mapping Reference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