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PV-PP Layer 4A</w:t>
      </w:r>
    </w:p>
    <w:p>
      <w:pPr>
        <w:jc w:val="center"/>
      </w:pPr>
      <w:r>
        <w:rPr>
          <w:b/>
          <w:sz w:val="32"/>
        </w:rPr>
        <w:t>Structural Scaling Extensions</w:t>
      </w:r>
    </w:p>
    <w:p>
      <w:pPr>
        <w:jc w:val="center"/>
      </w:pPr>
      <w:r>
        <w:t>Provisional Canonical v1.9</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Status</w:t>
            </w:r>
          </w:p>
        </w:tc>
        <w:tc>
          <w:tcPr>
            <w:tcW w:type="dxa" w:w="5040"/>
          </w:tcPr>
          <w:p>
            <w:r>
              <w:t>Provisional canonical extension pending physical insertion of the June 2026 persistent-state revisions.</w:t>
            </w:r>
          </w:p>
        </w:tc>
      </w:tr>
      <w:tr>
        <w:tc>
          <w:tcPr>
            <w:tcW w:type="dxa" w:w="5040"/>
          </w:tcPr>
          <w:p>
            <w:r>
              <w:rPr>
                <w:b/>
              </w:rPr>
              <w:t>Supersedes</w:t>
            </w:r>
          </w:p>
        </w:tc>
        <w:tc>
          <w:tcPr>
            <w:tcW w:type="dxa" w:w="5040"/>
          </w:tcPr>
          <w:p>
            <w:r>
              <w:t>Layer 4A Structural Scaling Extensions Canonical v1.6.</w:t>
            </w:r>
          </w:p>
        </w:tc>
      </w:tr>
      <w:tr>
        <w:tc>
          <w:tcPr>
            <w:tcW w:type="dxa" w:w="5040"/>
          </w:tcPr>
          <w:p>
            <w:r>
              <w:rPr>
                <w:b/>
              </w:rPr>
              <w:t>Authority boundary</w:t>
            </w:r>
          </w:p>
        </w:tc>
        <w:tc>
          <w:tcPr>
            <w:tcW w:type="dxa" w:w="5040"/>
          </w:tcPr>
          <w:p>
            <w:r>
              <w:t>Layer 4A remains downstream of Layers 1-2 and may not alter core ontology, operator order, or theorem authority.</w:t>
            </w:r>
          </w:p>
        </w:tc>
      </w:tr>
      <w:tr>
        <w:tc>
          <w:tcPr>
            <w:tcW w:type="dxa" w:w="5040"/>
          </w:tcPr>
          <w:p>
            <w:r>
              <w:rPr>
                <w:b/>
              </w:rPr>
              <w:t>Revision purpose</w:t>
            </w:r>
          </w:p>
        </w:tc>
        <w:tc>
          <w:tcPr>
            <w:tcW w:type="dxa" w:w="5040"/>
          </w:tcPr>
          <w:p>
            <w:r>
              <w:t>Reconcile structural scaling with SPV, AVS/PVS, typed memory, commitments, configuration-dependent PP, and execution continuity.</w:t>
            </w:r>
          </w:p>
        </w:tc>
      </w:tr>
    </w:tbl>
    <w:p>
      <w:pPr>
        <w:pStyle w:val="Heading1"/>
      </w:pPr>
      <w:r>
        <w:t>1. Purpose of Layer 4A</w:t>
      </w:r>
    </w:p>
    <w:p>
      <w:r>
        <w:t>Layer 4A extends the Productive Value-Productive Power (PV-PP) framework to structured multi-agent scaling contexts. It is a controlled extension layer, not a source of silent revision to Layers 1-2.</w:t>
      </w:r>
    </w:p>
    <w:p>
      <w:r>
        <w:t>Layer 4A formalizes:</w:t>
      </w:r>
    </w:p>
    <w:p>
      <w:pPr>
        <w:pStyle w:val="ListBullet"/>
      </w:pPr>
      <w:r>
        <w:t>alignment as a structural predicate;</w:t>
      </w:r>
    </w:p>
    <w:p>
      <w:pPr>
        <w:pStyle w:val="ListBullet"/>
      </w:pPr>
      <w:r>
        <w:t>coordination feasibility under bounded perception;</w:t>
      </w:r>
    </w:p>
    <w:p>
      <w:pPr>
        <w:pStyle w:val="ListBullet"/>
      </w:pPr>
      <w:r>
        <w:t>joint feasibility and execution across interacting entities;</w:t>
      </w:r>
    </w:p>
    <w:p>
      <w:pPr>
        <w:pStyle w:val="ListBullet"/>
      </w:pPr>
      <w:r>
        <w:t>configuration-dependent Productive Power;</w:t>
      </w:r>
    </w:p>
    <w:p>
      <w:pPr>
        <w:pStyle w:val="ListBullet"/>
      </w:pPr>
      <w:r>
        <w:t>the effects of Stored Productive Value, commitments, and reserve distribution on scaling;</w:t>
      </w:r>
    </w:p>
    <w:p>
      <w:pPr>
        <w:pStyle w:val="ListBullet"/>
      </w:pPr>
      <w:r>
        <w:t>non-scalar scaling without cross-agent utility pooling.</w:t>
      </w:r>
    </w:p>
    <w:p>
      <w:r>
        <w:t>Layer 4A introduces no new lower-framework primitives. It extends the structured use of existing state, memory, viability, feasibility, and execution objects across multiple agents.</w:t>
      </w:r>
    </w:p>
    <w:p>
      <w:pPr>
        <w:pStyle w:val="Heading2"/>
      </w:pPr>
      <w:r>
        <w:t>1A. Current Structural Status</w:t>
      </w:r>
    </w:p>
    <w:p>
      <w:r>
        <w:t>Layer 4A remains provisional canonical as a promotion candidate. Cross-file conceptual reconciliation and notation harmonization are complete at the specification level. The remaining gate is compatibility regression against an implementation that actually carries the expanded persistent-state architecture. The earlier 81/81 baseline regression does not satisfy this gate because that baseline did not implement the new persistent-state behavior.</w:t>
      </w:r>
    </w:p>
    <w:p>
      <w:r>
        <w:t>Any tension must be resolved in favor of the lower-framework kernel. Multi-agent notation may compress lower-stack detail, but it must not make Sigma appear to absorb candidate generation, constraints, adequacy, realization, or execution.</w:t>
      </w:r>
    </w:p>
    <w:p>
      <w:pPr>
        <w:pStyle w:val="Heading1"/>
      </w:pPr>
      <w:r>
        <w:t>2. Multi-Agent Interaction Structure</w:t>
      </w:r>
    </w:p>
    <w:p>
      <w:r>
        <w:t>Let I1, I2, ..., Ik be bounded persistence-bearing entities.</w:t>
      </w:r>
    </w:p>
    <w:p>
      <w:r>
        <w:t>Each entity may contain:</w:t>
      </w:r>
    </w:p>
    <w:p>
      <w:pPr>
        <w:pStyle w:val="ListBullet"/>
      </w:pPr>
      <w:r>
        <w:t>actual persistent state S_i(t) = [PP_i(t), SPV_i(t), AVS_i(t), X_i(t)];</w:t>
      </w:r>
    </w:p>
    <w:p>
      <w:pPr>
        <w:pStyle w:val="ListBullet"/>
      </w:pPr>
      <w:r>
        <w:t>informational persistence I_i(t), including memory, expectation, belief, and confidence;</w:t>
      </w:r>
    </w:p>
    <w:p>
      <w:pPr>
        <w:pStyle w:val="ListBullet"/>
      </w:pPr>
      <w:r>
        <w:t>perceived decision state P_i(t) = [PPP_i(t), perceived SPV_i(t), PVS_i(t), perceived context_i(t)];</w:t>
      </w:r>
    </w:p>
    <w:p>
      <w:pPr>
        <w:pStyle w:val="ListBullet"/>
      </w:pPr>
      <w:r>
        <w:t>execution persistence E_i(t), including commitments, active policies, and encumbered resources;</w:t>
      </w:r>
    </w:p>
    <w:p>
      <w:pPr>
        <w:pStyle w:val="ListBullet"/>
      </w:pPr>
      <w:r>
        <w:t>regime R_i(t).</w:t>
      </w:r>
    </w:p>
    <w:p>
      <w:r>
        <w:t>No entity is assumed to have direct access to another entity's full actual state, internal memory, expectations, confidence, or future state. Coordination occurs through interactions and perceived signals, including PV transfers where Productive-Role Qualification is satisfied, together with retrieved relational memory, current constraints, commitments, and projected joint feasibility.</w:t>
      </w:r>
    </w:p>
    <w:p>
      <w:pPr>
        <w:pStyle w:val="Heading1"/>
      </w:pPr>
      <w:r>
        <w:t>3. Structural Alignment</w:t>
      </w:r>
    </w:p>
    <w:p>
      <w:r>
        <w:t>Alignment is not defined by successful coordination. It is a structural predicate over mutually recognizable live joint-policy structures.</w:t>
      </w:r>
    </w:p>
    <w:p>
      <w:pPr>
        <w:jc w:val="center"/>
      </w:pPr>
      <w:r>
        <w:rPr>
          <w:b/>
        </w:rPr>
        <w:t>Align(I_i, I_j, t) iff Fhat_i,j(t) intersects Fhat_j,i(t)</w:t>
      </w:r>
    </w:p>
    <w:p>
      <w:r>
        <w:t>Here Fhat_i,j(t) is the set of joint policies that agent i currently perceives as live with agent j after candidate construction, constraints, adequacy, commitments, available PP, available SPV, and counterpart-specific memory.</w:t>
      </w:r>
    </w:p>
    <w:p>
      <w:r>
        <w:t>Two agents are structurally aligned when at least one policy class is:</w:t>
      </w:r>
    </w:p>
    <w:p>
      <w:pPr>
        <w:pStyle w:val="ListBullet"/>
      </w:pPr>
      <w:r>
        <w:t>recognized by both as feasible enough to remain live;</w:t>
      </w:r>
    </w:p>
    <w:p>
      <w:pPr>
        <w:pStyle w:val="ListBullet"/>
      </w:pPr>
      <w:r>
        <w:t>interpreted under sufficiently compatible semantics;</w:t>
      </w:r>
    </w:p>
    <w:p>
      <w:pPr>
        <w:pStyle w:val="ListBullet"/>
      </w:pPr>
      <w:r>
        <w:t>supported by sufficiently compatible expectations and confidence;</w:t>
      </w:r>
    </w:p>
    <w:p>
      <w:pPr>
        <w:pStyle w:val="ListBullet"/>
      </w:pPr>
      <w:r>
        <w:t>consistent with the guardrails and commitments each believes apply.</w:t>
      </w:r>
    </w:p>
    <w:p>
      <w:r>
        <w:t>Alignment does not imply identical final selection, successful execution, generic trust, or equal leverage.</w:t>
      </w:r>
    </w:p>
    <w:p>
      <w:pPr>
        <w:pStyle w:val="Heading1"/>
      </w:pPr>
      <w:r>
        <w:t>4. Coordination Thresholds and Network Measures</w:t>
      </w:r>
    </w:p>
    <w:p>
      <w:r>
        <w:t>A descriptive coordination threshold may be represented by the proportion of relevant relationships satisfying the stated alignment predicate.</w:t>
      </w:r>
    </w:p>
    <w:p>
      <w:pPr>
        <w:jc w:val="center"/>
      </w:pPr>
      <w:r>
        <w:rPr>
          <w:b/>
        </w:rPr>
        <w:t>Abar(t) &gt;= tau_c</w:t>
      </w:r>
    </w:p>
    <w:p>
      <w:r>
        <w:t>Abar(t) is a protocol-specific network statistic and tau_c is a protocol-specific coordination threshold. This is not a utility function, welfare score, or governing selector.</w:t>
      </w:r>
    </w:p>
    <w:p>
      <w:r>
        <w:t>Alignment may be Boolean or typed under a stated protocol. Scaling remains combinatorial and structural rather than scalar value pooling.</w:t>
      </w:r>
    </w:p>
    <w:p>
      <w:pPr>
        <w:pStyle w:val="Heading1"/>
      </w:pPr>
      <w:r>
        <w:t>5. Joint Feasibility and Coordination Failure</w:t>
      </w:r>
    </w:p>
    <w:p>
      <w:r>
        <w:t>Individual feasibility does not guarantee joint feasibility. Policies that each agent could execute in isolation may be mutually incompatible, resource-conflicting, congested, or impossible to realize together.</w:t>
      </w:r>
    </w:p>
    <w:p>
      <w:r>
        <w:t>Coordination failure occurs when one or more agents project a joint live structure that does not match the actual jointly feasible and executable structure.</w:t>
      </w:r>
    </w:p>
    <w:p>
      <w:r>
        <w:t>Failure may produce:</w:t>
      </w:r>
    </w:p>
    <w:p>
      <w:pPr>
        <w:pStyle w:val="ListBullet"/>
      </w:pPr>
      <w:r>
        <w:t>complete interaction failure;</w:t>
      </w:r>
    </w:p>
    <w:p>
      <w:pPr>
        <w:pStyle w:val="ListBullet"/>
      </w:pPr>
      <w:r>
        <w:t>partial execution;</w:t>
      </w:r>
    </w:p>
    <w:p>
      <w:pPr>
        <w:pStyle w:val="ListBullet"/>
      </w:pPr>
      <w:r>
        <w:t>unintended PV or SPV transfer;</w:t>
      </w:r>
    </w:p>
    <w:p>
      <w:pPr>
        <w:pStyle w:val="ListBullet"/>
      </w:pPr>
      <w:r>
        <w:t>resource contention or congestion;</w:t>
      </w:r>
    </w:p>
    <w:p>
      <w:pPr>
        <w:pStyle w:val="ListBullet"/>
      </w:pPr>
      <w:r>
        <w:t>continued environmental decay and depletion;</w:t>
      </w:r>
    </w:p>
    <w:p>
      <w:pPr>
        <w:pStyle w:val="ListBullet"/>
      </w:pPr>
      <w:r>
        <w:t>prediction error and revisions to memory, expectation, confidence, PPP, PVS, and active-policy state.</w:t>
      </w:r>
    </w:p>
    <w:p>
      <w:r>
        <w:t>No undefined transition arises. Failure is classified as misprojection, incompatibility, joint-feasibility failure, realization failure, execution failure, coercion, interruption, or environmental change.</w:t>
      </w:r>
    </w:p>
    <w:p>
      <w:pPr>
        <w:pStyle w:val="Heading1"/>
      </w:pPr>
      <w:r>
        <w:t>6. Structural Configuration Effects</w:t>
      </w:r>
    </w:p>
    <w:p>
      <w:r>
        <w:t>Structural configuration does not generate PV ex nihilo. It can, however, change accessible capability, retention, resilience, and what joint actions are possible.</w:t>
      </w:r>
    </w:p>
    <w:p>
      <w:r>
        <w:t>Configuration may modify:</w:t>
      </w:r>
    </w:p>
    <w:p>
      <w:pPr>
        <w:pStyle w:val="ListBullet"/>
      </w:pPr>
      <w:r>
        <w:t>available and effective PP;</w:t>
      </w:r>
    </w:p>
    <w:p>
      <w:pPr>
        <w:pStyle w:val="ListBullet"/>
      </w:pPr>
      <w:r>
        <w:t>accessible and effective SPV;</w:t>
      </w:r>
    </w:p>
    <w:p>
      <w:pPr>
        <w:pStyle w:val="ListBullet"/>
      </w:pPr>
      <w:r>
        <w:t>transfer efficiency;</w:t>
      </w:r>
    </w:p>
    <w:p>
      <w:pPr>
        <w:pStyle w:val="ListBullet"/>
      </w:pPr>
      <w:r>
        <w:t>feasible and jointly executable policy sets;</w:t>
      </w:r>
    </w:p>
    <w:p>
      <w:pPr>
        <w:pStyle w:val="ListBullet"/>
      </w:pPr>
      <w:r>
        <w:t>signaling reliability and confidence;</w:t>
      </w:r>
    </w:p>
    <w:p>
      <w:pPr>
        <w:pStyle w:val="ListBullet"/>
      </w:pPr>
      <w:r>
        <w:t>constraint and commitment geometry;</w:t>
      </w:r>
    </w:p>
    <w:p>
      <w:pPr>
        <w:pStyle w:val="ListBullet"/>
      </w:pPr>
      <w:r>
        <w:t>concentration, redundancy, and resilience.</w:t>
      </w:r>
    </w:p>
    <w:p>
      <w:r>
        <w:t>Institutions, authority, reputation, and contractual structures matter only insofar as they reshape access, signaling, commitments, feasibility, admissibility, execution, and retention.</w:t>
      </w:r>
    </w:p>
    <w:p>
      <w:pPr>
        <w:pStyle w:val="Heading1"/>
      </w:pPr>
      <w:r>
        <w:t>7. Information and Perceived-State Update</w:t>
      </w:r>
    </w:p>
    <w:p>
      <w:r>
        <w:t>Information may be conveyed through interactions and interpreted signals. A conveyed informational item is classified as PV only when the modeled event or interaction satisfies Productive-Role Qualification; information is not PV merely because it affects perception or coordination.</w:t>
      </w:r>
    </w:p>
    <w:p>
      <w:pPr>
        <w:jc w:val="center"/>
      </w:pPr>
      <w:r>
        <w:rPr>
          <w:b/>
        </w:rPr>
        <w:t>[I_i(t+1), P_i(t+1)] = U_i(I_i(t), P_i(t), signal_i(t), retrieval_i(t), confidence_i(t))</w:t>
      </w:r>
    </w:p>
    <w:p>
      <w:r>
        <w:t>The actual-state transition architecture remains the updater of actual persistent state. Informational effects work through memory, expectation, belief, confidence, perceived-state revision, and subsequent downstream operator behavior.</w:t>
      </w:r>
    </w:p>
    <w:p>
      <w:pPr>
        <w:pStyle w:val="Heading1"/>
      </w:pPr>
      <w:r>
        <w:t>8. Alignment Capacity as Productive Power</w:t>
      </w:r>
    </w:p>
    <w:p>
      <w:r>
        <w:t>Where the modeled entity has a demonstrated productive capability for coordination, that capability may be represented as Productive Power and related to one or more relevant PP domains under the normal Layer 1 domain-relation rules. 'Alignment capacity' is descriptive shorthand for such capability; it is not a new PP type, scalar score, or independently governing object.</w:t>
      </w:r>
    </w:p>
    <w:p>
      <w:r>
        <w:t>Relevant components may include:</w:t>
      </w:r>
    </w:p>
    <w:p>
      <w:pPr>
        <w:pStyle w:val="ListBullet"/>
      </w:pPr>
      <w:r>
        <w:t>representational bandwidth;</w:t>
      </w:r>
    </w:p>
    <w:p>
      <w:pPr>
        <w:pStyle w:val="ListBullet"/>
      </w:pPr>
      <w:r>
        <w:t>model consistency;</w:t>
      </w:r>
    </w:p>
    <w:p>
      <w:pPr>
        <w:pStyle w:val="ListBullet"/>
      </w:pPr>
      <w:r>
        <w:t>signaling fidelity;</w:t>
      </w:r>
    </w:p>
    <w:p>
      <w:pPr>
        <w:pStyle w:val="ListBullet"/>
      </w:pPr>
      <w:r>
        <w:t>semantic interoperability;</w:t>
      </w:r>
    </w:p>
    <w:p>
      <w:pPr>
        <w:pStyle w:val="ListBullet"/>
      </w:pPr>
      <w:r>
        <w:t>coordination and repair capability.</w:t>
      </w:r>
    </w:p>
    <w:p>
      <w:r>
        <w:t>Alignment capacity must remain distinct from relationship-specific memory, generic trust, observed success, and the final selection outcome.</w:t>
      </w:r>
    </w:p>
    <w:p>
      <w:pPr>
        <w:pStyle w:val="Heading1"/>
      </w:pPr>
      <w:r>
        <w:t>8A. Typed Relational Memory and Cooperation Access</w:t>
      </w:r>
    </w:p>
    <w:p>
      <w:r>
        <w:t>Multi-agent scaling must not rely on a generic cooperation-propensity or trust score. Cooperation access is a relationship-specific, typed, non-governing modifier of candidate visibility, guardrails, adequacy, and recovery access. It is conditioned by counterpart identity, typed relational memory, expectation, confidence, perceived viability, commitments, and recovery structure. It does not constitute a new operator and does not replace Graph, Pi, Constraints, Domain Framing, Adequacy, Sigma, or epsilon.</w:t>
      </w:r>
    </w:p>
    <w:p>
      <w:r>
        <w:t>Typed relational memory may preserve counterparty, interaction type, affected domain, outcome, defection or success status, guardrail condition, recovery path, and confidence.</w:t>
      </w:r>
    </w:p>
    <w:p>
      <w:r>
        <w:t>A prior defector may remain eligible only for bounded or guarded cooperation. Positive evidence does not automatically erase prior defection structure. Crude undifferentiated memory may instead suppress viable cooperation through generalized distrust.</w:t>
      </w:r>
    </w:p>
    <w:p>
      <w:pPr>
        <w:pStyle w:val="Heading1"/>
      </w:pPr>
      <w:r>
        <w:t>8B. Configuration-Dependent PP, Concentration, and Resilience</w:t>
      </w:r>
    </w:p>
    <w:p>
      <w:r>
        <w:t>The same agents may support different productive capability depending on configuration. Combined PP is therefore not assumed to equal the sum of isolated PP.</w:t>
      </w:r>
    </w:p>
    <w:p>
      <w:r>
        <w:t>Technology concentration can raise frontier capability while reducing resilience. Diffusion may leave peak capability unchanged while increasing the number of viable configurations and the retained capability available after agent loss.</w:t>
      </w:r>
    </w:p>
    <w:p>
      <w:r>
        <w:t>Layer 4A should distinguish, under explicit protocols:</w:t>
      </w:r>
    </w:p>
    <w:p>
      <w:pPr>
        <w:pStyle w:val="ListBullet"/>
      </w:pPr>
      <w:r>
        <w:t>peak PP;</w:t>
      </w:r>
    </w:p>
    <w:p>
      <w:pPr>
        <w:pStyle w:val="ListBullet"/>
      </w:pPr>
      <w:r>
        <w:t>available PP;</w:t>
      </w:r>
    </w:p>
    <w:p>
      <w:pPr>
        <w:pStyle w:val="ListBullet"/>
      </w:pPr>
      <w:r>
        <w:t>configuration-specific PP;</w:t>
      </w:r>
    </w:p>
    <w:p>
      <w:pPr>
        <w:pStyle w:val="ListBullet"/>
      </w:pPr>
      <w:r>
        <w:t>distribution and concentration;</w:t>
      </w:r>
    </w:p>
    <w:p>
      <w:pPr>
        <w:pStyle w:val="ListBullet"/>
      </w:pPr>
      <w:r>
        <w:t>redundancy and resilience;</w:t>
      </w:r>
    </w:p>
    <w:p>
      <w:pPr>
        <w:pStyle w:val="ListBullet"/>
      </w:pPr>
      <w:r>
        <w:t>available and durable SPV.</w:t>
      </w:r>
    </w:p>
    <w:p>
      <w:r>
        <w:t>A high-output configuration may fail to produce durable system value when storage, liquidity, decay, ownership, or access constraints prevent retention or use.</w:t>
      </w:r>
    </w:p>
    <w:p>
      <w:pPr>
        <w:pStyle w:val="Heading1"/>
      </w:pPr>
      <w:r>
        <w:t>8C. Nested Persistence-Bearing Entities</w:t>
      </w:r>
    </w:p>
    <w:p>
      <w:r>
        <w:t>Pairs, teams, firms, institutions, and other aggregates may be modeled as persistence-bearing entities only when the analysis identifies a boundary, persistent state, transition structure, viability conditions, and continuity across time.</w:t>
      </w:r>
    </w:p>
    <w:p>
      <w:r>
        <w:t>Nested entity status is not granted merely because agents interact or share an identity label. The aggregate must exhibit analytically relevant persistence not captured by treating members as an unstructured list.</w:t>
      </w:r>
    </w:p>
    <w:p>
      <w:r>
        <w:t>Individual and aggregate viability may conflict. Layer 4A permits that conflict to be represented without assuming that either level automatically dominates.</w:t>
      </w:r>
    </w:p>
    <w:p>
      <w:pPr>
        <w:pStyle w:val="Heading1"/>
      </w:pPr>
      <w:r>
        <w:t>9. Non-Scalar Scaling Principle</w:t>
      </w:r>
    </w:p>
    <w:p>
      <w:r>
        <w:t>Layer 4A preserves non-scalar discipline:</w:t>
      </w:r>
    </w:p>
    <w:p>
      <w:pPr>
        <w:pStyle w:val="ListBullet"/>
      </w:pPr>
      <w:r>
        <w:t>no aggregation of heterogeneous domain magnitudes into one utility score;</w:t>
      </w:r>
    </w:p>
    <w:p>
      <w:pPr>
        <w:pStyle w:val="ListBullet"/>
      </w:pPr>
      <w:r>
        <w:t>no cross-agent utility pooling;</w:t>
      </w:r>
    </w:p>
    <w:p>
      <w:pPr>
        <w:pStyle w:val="ListBullet"/>
      </w:pPr>
      <w:r>
        <w:t>no scalar welfare function;</w:t>
      </w:r>
    </w:p>
    <w:p>
      <w:pPr>
        <w:pStyle w:val="ListBullet"/>
      </w:pPr>
      <w:r>
        <w:t>no default commensurability assumption;</w:t>
      </w:r>
    </w:p>
    <w:p>
      <w:pPr>
        <w:pStyle w:val="ListBullet"/>
      </w:pPr>
      <w:r>
        <w:t>no use of descriptive alignment statistics as governing selectors.</w:t>
      </w:r>
    </w:p>
    <w:p>
      <w:r>
        <w:t>Scaling emerges through:</w:t>
      </w:r>
    </w:p>
    <w:p>
      <w:pPr>
        <w:pStyle w:val="ListBullet"/>
      </w:pPr>
      <w:r>
        <w:t>constraint and commitment topology;</w:t>
      </w:r>
    </w:p>
    <w:p>
      <w:pPr>
        <w:pStyle w:val="ListBullet"/>
      </w:pPr>
      <w:r>
        <w:t>feasible-set and executable-set overlap;</w:t>
      </w:r>
    </w:p>
    <w:p>
      <w:pPr>
        <w:pStyle w:val="ListBullet"/>
      </w:pPr>
      <w:r>
        <w:t>configuration-dependent PP;</w:t>
      </w:r>
    </w:p>
    <w:p>
      <w:pPr>
        <w:pStyle w:val="ListBullet"/>
      </w:pPr>
      <w:r>
        <w:t>SPV availability and reserve distribution;</w:t>
      </w:r>
    </w:p>
    <w:p>
      <w:pPr>
        <w:pStyle w:val="ListBullet"/>
      </w:pPr>
      <w:r>
        <w:t>regime synchronization;</w:t>
      </w:r>
    </w:p>
    <w:p>
      <w:pPr>
        <w:pStyle w:val="ListBullet"/>
      </w:pPr>
      <w:r>
        <w:t>typed relational memory;</w:t>
      </w:r>
    </w:p>
    <w:p>
      <w:pPr>
        <w:pStyle w:val="ListBullet"/>
      </w:pPr>
      <w:r>
        <w:t>structural stability, concentration, redundancy, and resilience.</w:t>
      </w:r>
    </w:p>
    <w:p>
      <w:pPr>
        <w:pStyle w:val="Heading1"/>
      </w:pPr>
      <w:r>
        <w:t>10. Structural Consequences</w:t>
      </w:r>
    </w:p>
    <w:p>
      <w:r>
        <w:t>Under v1.9:</w:t>
      </w:r>
    </w:p>
    <w:p>
      <w:pPr>
        <w:pStyle w:val="ListBullet"/>
      </w:pPr>
      <w:r>
        <w:t>alignment is structurally defined rather than inferred from success;</w:t>
      </w:r>
    </w:p>
    <w:p>
      <w:pPr>
        <w:pStyle w:val="ListBullet"/>
      </w:pPr>
      <w:r>
        <w:t>joint feasibility is distinct from individual feasibility;</w:t>
      </w:r>
    </w:p>
    <w:p>
      <w:pPr>
        <w:pStyle w:val="ListBullet"/>
      </w:pPr>
      <w:r>
        <w:t>configuration may alter PP without creating PV from nothing;</w:t>
      </w:r>
    </w:p>
    <w:p>
      <w:pPr>
        <w:pStyle w:val="ListBullet"/>
      </w:pPr>
      <w:r>
        <w:t>SPV, commitments, and reserve distribution affect scaling;</w:t>
      </w:r>
    </w:p>
    <w:p>
      <w:pPr>
        <w:pStyle w:val="ListBullet"/>
      </w:pPr>
      <w:r>
        <w:t>typed relational memory conditions cooperation access;</w:t>
      </w:r>
    </w:p>
    <w:p>
      <w:pPr>
        <w:pStyle w:val="ListBullet"/>
      </w:pPr>
      <w:r>
        <w:t>descriptive thresholds do not become scalar selectors;</w:t>
      </w:r>
    </w:p>
    <w:p>
      <w:pPr>
        <w:pStyle w:val="ListBullet"/>
      </w:pPr>
      <w:r>
        <w:t>no omniscient environmental access is assumed;</w:t>
      </w:r>
    </w:p>
    <w:p>
      <w:pPr>
        <w:pStyle w:val="ListBullet"/>
      </w:pPr>
      <w:r>
        <w:t>no extension-level shortcut overrides lower-stack operator boundaries.</w:t>
      </w:r>
    </w:p>
    <w:p>
      <w:pPr>
        <w:pStyle w:val="Heading1"/>
      </w:pPr>
      <w:r>
        <w:t>Plain Interpretation Summary</w:t>
      </w:r>
    </w:p>
    <w:p>
      <w:r>
        <w:t>Large-scale coordination is not utility pooling, generic trust accumulation, or simple summation of individual capacity.</w:t>
      </w:r>
    </w:p>
    <w:p>
      <w:r>
        <w:t>It is:</w:t>
      </w:r>
    </w:p>
    <w:p>
      <w:pPr>
        <w:pStyle w:val="ListBullet"/>
      </w:pPr>
      <w:r>
        <w:t>overlap in mutually recognizable live joint-policy structures;</w:t>
      </w:r>
    </w:p>
    <w:p>
      <w:pPr>
        <w:pStyle w:val="ListBullet"/>
      </w:pPr>
      <w:r>
        <w:t>joint feasibility under actual constraints and commitments;</w:t>
      </w:r>
    </w:p>
    <w:p>
      <w:pPr>
        <w:pStyle w:val="ListBullet"/>
      </w:pPr>
      <w:r>
        <w:t>configuration-dependent productive capability;</w:t>
      </w:r>
    </w:p>
    <w:p>
      <w:pPr>
        <w:pStyle w:val="ListBullet"/>
      </w:pPr>
      <w:r>
        <w:t>efficient PV transfer and durable SPV retention;</w:t>
      </w:r>
    </w:p>
    <w:p>
      <w:pPr>
        <w:pStyle w:val="ListBullet"/>
      </w:pPr>
      <w:r>
        <w:t>typed relational memory and guarded cooperation where relevant;</w:t>
      </w:r>
    </w:p>
    <w:p>
      <w:pPr>
        <w:pStyle w:val="ListBullet"/>
      </w:pPr>
      <w:r>
        <w:t>resilience under concentration, loss, and changing configuration.</w:t>
      </w:r>
    </w:p>
    <w:p>
      <w:r>
        <w:t>Authority, reputation, and institutions do not create value by declaration. They restructure access, signaling, commitments, feasibility, execution, and retention.</w:t>
      </w:r>
    </w:p>
    <w:p>
      <w:pPr>
        <w:pStyle w:val="Heading1"/>
      </w:pPr>
      <w:r>
        <w:t>10A. Promotion Review Result</w:t>
      </w:r>
    </w:p>
    <w:p>
      <w:r>
        <w:t>Hostile specification review found no Layer 4A requirement to alter Layer 1 ontology, the Layer 2 operator order, Sigma ownership, epsilon ownership, or scalar-proof authority. The principal risks were authority drift through cooperation-propensity language, treatment of alignment capacity as a novel PP object, and wording that could imply collective regime selection. Version 1.8 closes those wording risks by keeping cooperation access relational and non-governing, routing alignment capability through ordinary PP/domain relations, and treating agent regimes as independently derived lower-stack states.</w:t>
      </w:r>
    </w:p>
    <w:p>
      <w:r>
        <w:t>The review therefore finds Layer 4A structurally compatible and ready for full promotion once the remaining implementation regression gate is actually satisfied. This document does not claim that regression has occurred.</w:t>
      </w:r>
    </w:p>
    <w:p>
      <w:pPr>
        <w:pStyle w:val="Heading1"/>
      </w:pPr>
      <w:r>
        <w:t>11. Revision and Authority Note</w:t>
      </w:r>
    </w:p>
    <w:p>
      <w:r>
        <w:t>Version 1.9 supersedes Layer 4A v1.8. It preserves the structural scaling program while reconciling it with the June 2026 persistent-state, SPV, viability, memory, and execution architecture.</w:t>
      </w:r>
    </w:p>
    <w:p>
      <w:r>
        <w:t>This version remains provisional canonical for one bounded reason: implementation compatibility regression of the Version 2 persistent-state architecture has not yet been demonstrated. Lower-framework physical insertion, Tier 1 interface normalization, cross-file conceptual insertion, and notation harmonization needed for Layer 4A promotion are otherwise complete at the specification level.</w:t>
      </w:r>
    </w:p>
    <w:p>
      <w:r>
        <w:t>Promotion to full canonical status now requires successful compatibility regression against the expanded persistent-state implementation and recording of that result in project control. No additional Layer 4A primitive, operator, scalar, or exception mechanism is authorized by this remaining gate.</w:t>
      </w:r>
    </w:p>
    <w:sectPr w:rsidR="00FC693F" w:rsidRPr="0006063C" w:rsidSect="00034616">
      <w:footerReference w:type="default" r:id="rId9"/>
      <w:footerReference w:type="first" r:id="rId10"/>
      <w:footerReference w:type="even" r:id="rId11"/>
      <w:head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PV-PP Layer 4A - Structural Scaling Extensions - Provisional Canonical v1.9</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