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PV-PP Agent Runtime Interface Ladder v0.2</w:t>
      </w:r>
    </w:p>
    <w:p>
      <w:pPr>
        <w:jc w:val="center"/>
      </w:pPr>
      <w:r>
        <w:rPr>
          <w:i/>
          <w:sz w:val="22"/>
        </w:rPr>
        <w:t>Workstream 4: Runtime / Execution Formalization</w:t>
      </w:r>
    </w:p>
    <w:p/>
    <w:tbl>
      <w:tblPr>
        <w:tblStyle w:val="TableGrid"/>
        <w:tblW w:type="auto" w:w="0"/>
        <w:jc w:val="center"/>
        <w:tblLook w:firstColumn="1" w:firstRow="1" w:lastColumn="0" w:lastRow="0" w:noHBand="0" w:noVBand="1" w:val="04A0"/>
      </w:tblPr>
      <w:tblGrid>
        <w:gridCol w:w="5040"/>
        <w:gridCol w:w="5040"/>
      </w:tblGrid>
      <w:tr>
        <w:tc>
          <w:tcPr>
            <w:tcW w:type="dxa" w:w="2448"/>
          </w:tcPr>
          <w:p>
            <w:r/>
            <w:r>
              <w:rPr>
                <w:b/>
                <w:sz w:val="18"/>
              </w:rPr>
              <w:t>Version</w:t>
            </w:r>
          </w:p>
        </w:tc>
        <w:tc>
          <w:tcPr>
            <w:tcW w:type="dxa" w:w="6912"/>
          </w:tcPr>
          <w:p>
            <w:r/>
            <w:r>
              <w:rPr>
                <w:b w:val="0"/>
                <w:sz w:val="18"/>
              </w:rPr>
              <w:t>v0.2</w:t>
            </w:r>
          </w:p>
        </w:tc>
      </w:tr>
      <w:tr>
        <w:tc>
          <w:tcPr>
            <w:tcW w:type="dxa" w:w="2448"/>
          </w:tcPr>
          <w:p>
            <w:r/>
            <w:r>
              <w:rPr>
                <w:b/>
                <w:sz w:val="18"/>
              </w:rPr>
              <w:t>Status</w:t>
            </w:r>
          </w:p>
        </w:tc>
        <w:tc>
          <w:tcPr>
            <w:tcW w:type="dxa" w:w="6912"/>
          </w:tcPr>
          <w:p>
            <w:r/>
            <w:r>
              <w:rPr>
                <w:b w:val="0"/>
                <w:sz w:val="18"/>
              </w:rPr>
              <w:t>Architecture stabilization draft</w:t>
            </w:r>
          </w:p>
        </w:tc>
      </w:tr>
      <w:tr>
        <w:tc>
          <w:tcPr>
            <w:tcW w:type="dxa" w:w="2448"/>
          </w:tcPr>
          <w:p>
            <w:r/>
            <w:r>
              <w:rPr>
                <w:b/>
                <w:sz w:val="18"/>
              </w:rPr>
              <w:t>Supersedes</w:t>
            </w:r>
          </w:p>
        </w:tc>
        <w:tc>
          <w:tcPr>
            <w:tcW w:type="dxa" w:w="6912"/>
          </w:tcPr>
          <w:p>
            <w:r/>
            <w:r>
              <w:rPr>
                <w:b w:val="0"/>
                <w:sz w:val="18"/>
              </w:rPr>
              <w:t>PV-PP Agent Runtime Interface Ladder v0.1</w:t>
            </w:r>
          </w:p>
        </w:tc>
      </w:tr>
      <w:tr>
        <w:tc>
          <w:tcPr>
            <w:tcW w:type="dxa" w:w="2448"/>
          </w:tcPr>
          <w:p>
            <w:r/>
            <w:r>
              <w:rPr>
                <w:b/>
                <w:sz w:val="18"/>
              </w:rPr>
              <w:t>Folder</w:t>
            </w:r>
          </w:p>
        </w:tc>
        <w:tc>
          <w:tcPr>
            <w:tcW w:type="dxa" w:w="6912"/>
          </w:tcPr>
          <w:p>
            <w:r/>
            <w:r>
              <w:rPr>
                <w:b w:val="0"/>
                <w:sz w:val="18"/>
              </w:rPr>
              <w:t>40_Runtime_and_Execution_Formalization / 10_Interface_Ladder_and_Runtime_Boundary</w:t>
            </w:r>
          </w:p>
        </w:tc>
      </w:tr>
      <w:tr>
        <w:tc>
          <w:tcPr>
            <w:tcW w:type="dxa" w:w="2448"/>
          </w:tcPr>
          <w:p>
            <w:r/>
            <w:r>
              <w:rPr>
                <w:b/>
                <w:sz w:val="18"/>
              </w:rPr>
              <w:t>Purpose</w:t>
            </w:r>
          </w:p>
        </w:tc>
        <w:tc>
          <w:tcPr>
            <w:tcW w:type="dxa" w:w="6912"/>
          </w:tcPr>
          <w:p>
            <w:r/>
            <w:r>
              <w:rPr>
                <w:b w:val="0"/>
                <w:sz w:val="18"/>
              </w:rPr>
              <w:t>Define the full interface ladder from public explanation through setup, domain framing, static sidecar admission, inline runtime, completion verification, trace, recovery, and reframing.</w:t>
            </w:r>
          </w:p>
        </w:tc>
      </w:tr>
    </w:tbl>
    <w:p/>
    <w:p>
      <w:pPr>
        <w:pStyle w:val="Heading1"/>
      </w:pPr>
      <w:r>
        <w:t>1. Version 0.2 Change Summary</w:t>
      </w:r>
    </w:p>
    <w:p>
      <w:pPr>
        <w:pStyle w:val="ListBullet"/>
      </w:pPr>
      <w:r>
        <w:t>Adds the missing upstream setup layer between assessment and runtime admission.</w:t>
      </w:r>
    </w:p>
    <w:p>
      <w:pPr>
        <w:pStyle w:val="ListBullet"/>
      </w:pPr>
      <w:r>
        <w:t>Clarifies that the sidecar does not invent domains at runtime; it consumes an approved governance frame.</w:t>
      </w:r>
    </w:p>
    <w:p>
      <w:pPr>
        <w:pStyle w:val="ListBullet"/>
      </w:pPr>
      <w:r>
        <w:t>Separates static sidecar governance from inline runtime feedback.</w:t>
      </w:r>
    </w:p>
    <w:p>
      <w:pPr>
        <w:pStyle w:val="ListBullet"/>
      </w:pPr>
      <w:r>
        <w:t>Removes daemon-based dynamic tool-state monitoring from the mainline ladder; dynamic runtime feedback belongs to phase-two inline/proxy runtime.</w:t>
      </w:r>
    </w:p>
    <w:p>
      <w:pPr>
        <w:pStyle w:val="ListBullet"/>
      </w:pPr>
      <w:r>
        <w:t>Clarifies that the first buildable runtime object is static action admission, not full execution control.</w:t>
      </w:r>
    </w:p>
    <w:p>
      <w:pPr>
        <w:pStyle w:val="ListBullet"/>
      </w:pPr>
      <w:r>
        <w:t>Preserves the distinction between Domain Framing, Adequacy, Sigma selection, and epsilon execution.</w:t>
      </w:r>
    </w:p>
    <w:p>
      <w:pPr>
        <w:pStyle w:val="Heading1"/>
      </w:pPr>
      <w:r>
        <w:t>2. Workstream 4 Framing</w:t>
      </w:r>
    </w:p>
    <w:p>
      <w:r>
        <w:t>Workstream 4 concerns the bridge from selected policy to controlled action. It defines how the PV-PP framework moves from domain-framed decision governance into tool, workflow, API, agent, or human-in-the-loop execution. The workstream is not primarily public marketing, benchmark proof, disclosure control, or finished product implementation.</w:t>
      </w:r>
    </w:p>
    <w:p>
      <w:r>
        <w:t>The central question is: when an agent, workflow, API, tool router, or human-operated process proposes an action, what must exist upstream before the action can be governed, what interface receives the proposal, what decision can be returned, and what later runtime layers are required if live execution feedback matters?</w:t>
      </w:r>
    </w:p>
    <w:p>
      <w:pPr>
        <w:pStyle w:val="Heading1"/>
      </w:pPr>
      <w:r>
        <w:t>3. Active Stack Alignment</w:t>
      </w:r>
    </w:p>
    <w:p>
      <w:r>
        <w:t>The ladder must remain aligned with the active PV-PP stack:</w:t>
      </w:r>
    </w:p>
    <w:p>
      <w:r>
        <w:t>PPP -&gt; Phi -&gt; H -&gt; G -&gt; R -&gt; Graph Layer / seed substrate -&gt; Pi -&gt; Pi completeness validation -&gt; Constraints -&gt; Domain Framing -&gt; Adequacy -&gt; Sigma -&gt; epsilon</w:t>
      </w:r>
    </w:p>
    <w:p>
      <w:r>
        <w:t>The runtime ladder must not collapse Domain Framing, Adequacy, Sigma, and epsilon into a single vague gate. Setup, static admission, inline execution, completion verification, and recovery solve different problems and should remain distinct.</w:t>
      </w:r>
    </w:p>
    <w:p>
      <w:pPr>
        <w:pStyle w:val="Heading1"/>
      </w:pPr>
      <w:r>
        <w:t>4. Governing Principle</w:t>
      </w:r>
    </w:p>
    <w:p>
      <w:r>
        <w:t>The sidecar is not where Productive Power domains are invented. The sidecar consumes an approved domain frame and applies static governance constraints to proposed tool actions. A separate setup and domain-frame process must come first.</w:t>
      </w:r>
    </w:p>
    <w:p>
      <w:pPr>
        <w:pStyle w:val="Heading1"/>
      </w:pPr>
      <w:r>
        <w:t>5. The v0.2 Interface Ladder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Level</w:t>
            </w:r>
          </w:p>
        </w:tc>
        <w:tc>
          <w:tcPr>
            <w:tcW w:type="dxa" w:w="3360"/>
            <w:shd w:fill="D9EAF7"/>
          </w:tcPr>
          <w:p>
            <w:r/>
            <w:r>
              <w:rPr>
                <w:b/>
                <w:sz w:val="18"/>
              </w:rPr>
              <w:t>Interface</w:t>
            </w:r>
          </w:p>
        </w:tc>
        <w:tc>
          <w:tcPr>
            <w:tcW w:type="dxa" w:w="3360"/>
            <w:shd w:fill="D9EAF7"/>
          </w:tcPr>
          <w:p>
            <w:r/>
            <w:r>
              <w:rPr>
                <w:b/>
                <w:sz w:val="18"/>
              </w:rPr>
              <w:t>Function</w:t>
            </w:r>
          </w:p>
        </w:tc>
      </w:tr>
      <w:tr>
        <w:tc>
          <w:tcPr>
            <w:tcW w:type="dxa" w:w="3360"/>
          </w:tcPr>
          <w:p>
            <w:r/>
            <w:r>
              <w:rPr>
                <w:b w:val="0"/>
                <w:sz w:val="18"/>
              </w:rPr>
              <w:t>1</w:t>
            </w:r>
          </w:p>
        </w:tc>
        <w:tc>
          <w:tcPr>
            <w:tcW w:type="dxa" w:w="3360"/>
          </w:tcPr>
          <w:p>
            <w:r/>
            <w:r>
              <w:rPr>
                <w:b w:val="0"/>
                <w:sz w:val="18"/>
              </w:rPr>
              <w:t>Explanation Interface</w:t>
            </w:r>
          </w:p>
        </w:tc>
        <w:tc>
          <w:tcPr>
            <w:tcW w:type="dxa" w:w="3360"/>
          </w:tcPr>
          <w:p>
            <w:r/>
            <w:r>
              <w:rPr>
                <w:b w:val="0"/>
                <w:sz w:val="18"/>
              </w:rPr>
              <w:t>Public-facing explanation of PV-PP concepts. Produces orientation, not runtime governance.</w:t>
            </w:r>
          </w:p>
        </w:tc>
      </w:tr>
      <w:tr>
        <w:tc>
          <w:tcPr>
            <w:tcW w:type="dxa" w:w="3360"/>
          </w:tcPr>
          <w:p>
            <w:r/>
            <w:r>
              <w:rPr>
                <w:b w:val="0"/>
                <w:sz w:val="18"/>
              </w:rPr>
              <w:t>2</w:t>
            </w:r>
          </w:p>
        </w:tc>
        <w:tc>
          <w:tcPr>
            <w:tcW w:type="dxa" w:w="3360"/>
          </w:tcPr>
          <w:p>
            <w:r/>
            <w:r>
              <w:rPr>
                <w:b w:val="0"/>
                <w:sz w:val="18"/>
              </w:rPr>
              <w:t>Assessment Interface</w:t>
            </w:r>
          </w:p>
        </w:tc>
        <w:tc>
          <w:tcPr>
            <w:tcW w:type="dxa" w:w="3360"/>
          </w:tcPr>
          <w:p>
            <w:r/>
            <w:r>
              <w:rPr>
                <w:b w:val="0"/>
                <w:sz w:val="18"/>
              </w:rPr>
              <w:t>Audits or frames an agent, workflow, or tool system before runtime. Gathers purpose, tools, affected parties, policies, failure modes, oversight, and recovery assumptions.</w:t>
            </w:r>
          </w:p>
        </w:tc>
      </w:tr>
      <w:tr>
        <w:tc>
          <w:tcPr>
            <w:tcW w:type="dxa" w:w="3360"/>
          </w:tcPr>
          <w:p>
            <w:r/>
            <w:r>
              <w:rPr>
                <w:b w:val="0"/>
                <w:sz w:val="18"/>
              </w:rPr>
              <w:t>3</w:t>
            </w:r>
          </w:p>
        </w:tc>
        <w:tc>
          <w:tcPr>
            <w:tcW w:type="dxa" w:w="3360"/>
          </w:tcPr>
          <w:p>
            <w:r/>
            <w:r>
              <w:rPr>
                <w:b w:val="0"/>
                <w:sz w:val="18"/>
              </w:rPr>
              <w:t>Setup / Tool Inventory Interface</w:t>
            </w:r>
          </w:p>
        </w:tc>
        <w:tc>
          <w:tcPr>
            <w:tcW w:type="dxa" w:w="3360"/>
          </w:tcPr>
          <w:p>
            <w:r/>
            <w:r>
              <w:rPr>
                <w:b w:val="0"/>
                <w:sz w:val="18"/>
              </w:rPr>
              <w:t>Inventory of tools, actions, permissions, locations, users, records, data classes, output channels, and finalization authorities. This converts tool availability into mapped productive powers.</w:t>
            </w:r>
          </w:p>
        </w:tc>
      </w:tr>
      <w:tr>
        <w:tc>
          <w:tcPr>
            <w:tcW w:type="dxa" w:w="3360"/>
          </w:tcPr>
          <w:p>
            <w:r/>
            <w:r>
              <w:rPr>
                <w:b w:val="0"/>
                <w:sz w:val="18"/>
              </w:rPr>
              <w:t>4</w:t>
            </w:r>
          </w:p>
        </w:tc>
        <w:tc>
          <w:tcPr>
            <w:tcW w:type="dxa" w:w="3360"/>
          </w:tcPr>
          <w:p>
            <w:r/>
            <w:r>
              <w:rPr>
                <w:b w:val="0"/>
                <w:sz w:val="18"/>
              </w:rPr>
              <w:t>Domain Frame Builder Interface</w:t>
            </w:r>
          </w:p>
        </w:tc>
        <w:tc>
          <w:tcPr>
            <w:tcW w:type="dxa" w:w="3360"/>
          </w:tcPr>
          <w:p>
            <w:r/>
            <w:r>
              <w:rPr>
                <w:b w:val="0"/>
                <w:sz w:val="18"/>
              </w:rPr>
              <w:t>Produces candidate domains, distinguishes relevant and governing domains, proposes constraints, identifies owners, and marks confirmation needs. A Custom GPT can assist here but should not be sole authority for high-stakes frames.</w:t>
            </w:r>
          </w:p>
        </w:tc>
      </w:tr>
      <w:tr>
        <w:tc>
          <w:tcPr>
            <w:tcW w:type="dxa" w:w="3360"/>
          </w:tcPr>
          <w:p>
            <w:r/>
            <w:r>
              <w:rPr>
                <w:b w:val="0"/>
                <w:sz w:val="18"/>
              </w:rPr>
              <w:t>5</w:t>
            </w:r>
          </w:p>
        </w:tc>
        <w:tc>
          <w:tcPr>
            <w:tcW w:type="dxa" w:w="3360"/>
          </w:tcPr>
          <w:p>
            <w:r/>
            <w:r>
              <w:rPr>
                <w:b w:val="0"/>
                <w:sz w:val="18"/>
              </w:rPr>
              <w:t>Domain-Owner / Institutional Approval Interface</w:t>
            </w:r>
          </w:p>
        </w:tc>
        <w:tc>
          <w:tcPr>
            <w:tcW w:type="dxa" w:w="3360"/>
          </w:tcPr>
          <w:p>
            <w:r/>
            <w:r>
              <w:rPr>
                <w:b w:val="0"/>
                <w:sz w:val="18"/>
              </w:rPr>
              <w:t>Confirms governing domains and static constraints. This is the governance authority step that turns proposed domains into usable sidecar rules.</w:t>
            </w:r>
          </w:p>
        </w:tc>
      </w:tr>
      <w:tr>
        <w:tc>
          <w:tcPr>
            <w:tcW w:type="dxa" w:w="3360"/>
          </w:tcPr>
          <w:p>
            <w:r/>
            <w:r>
              <w:rPr>
                <w:b w:val="0"/>
                <w:sz w:val="18"/>
              </w:rPr>
              <w:t>6</w:t>
            </w:r>
          </w:p>
        </w:tc>
        <w:tc>
          <w:tcPr>
            <w:tcW w:type="dxa" w:w="3360"/>
          </w:tcPr>
          <w:p>
            <w:r/>
            <w:r>
              <w:rPr>
                <w:b w:val="0"/>
                <w:sz w:val="18"/>
              </w:rPr>
              <w:t>Static Sidecar Configuration Interface</w:t>
            </w:r>
          </w:p>
        </w:tc>
        <w:tc>
          <w:tcPr>
            <w:tcW w:type="dxa" w:w="3360"/>
          </w:tcPr>
          <w:p>
            <w:r/>
            <w:r>
              <w:rPr>
                <w:b w:val="0"/>
                <w:sz w:val="18"/>
              </w:rPr>
              <w:t>Converts the approved domain frame into sidecar-readable static rules: permitted actions, prohibited actions, action limits, review triggers, tool-class constraints, and authority boundaries.</w:t>
            </w:r>
          </w:p>
        </w:tc>
      </w:tr>
      <w:tr>
        <w:tc>
          <w:tcPr>
            <w:tcW w:type="dxa" w:w="3360"/>
          </w:tcPr>
          <w:p>
            <w:r/>
            <w:r>
              <w:rPr>
                <w:b w:val="0"/>
                <w:sz w:val="18"/>
              </w:rPr>
              <w:t>7</w:t>
            </w:r>
          </w:p>
        </w:tc>
        <w:tc>
          <w:tcPr>
            <w:tcW w:type="dxa" w:w="3360"/>
          </w:tcPr>
          <w:p>
            <w:r/>
            <w:r>
              <w:rPr>
                <w:b w:val="0"/>
                <w:sz w:val="18"/>
              </w:rPr>
              <w:t>Action Proposal Interface</w:t>
            </w:r>
          </w:p>
        </w:tc>
        <w:tc>
          <w:tcPr>
            <w:tcW w:type="dxa" w:w="3360"/>
          </w:tcPr>
          <w:p>
            <w:r/>
            <w:r>
              <w:rPr>
                <w:b w:val="0"/>
                <w:sz w:val="18"/>
              </w:rPr>
              <w:t>Receives a live proposed tool action from the agent or workflow. This is the first true runtime interaction, but in phase one it remains static admission, not live execution control.</w:t>
            </w:r>
          </w:p>
        </w:tc>
      </w:tr>
      <w:tr>
        <w:tc>
          <w:tcPr>
            <w:tcW w:type="dxa" w:w="3360"/>
          </w:tcPr>
          <w:p>
            <w:r/>
            <w:r>
              <w:rPr>
                <w:b w:val="0"/>
                <w:sz w:val="18"/>
              </w:rPr>
              <w:t>8</w:t>
            </w:r>
          </w:p>
        </w:tc>
        <w:tc>
          <w:tcPr>
            <w:tcW w:type="dxa" w:w="3360"/>
          </w:tcPr>
          <w:p>
            <w:r/>
            <w:r>
              <w:rPr>
                <w:b w:val="0"/>
                <w:sz w:val="18"/>
              </w:rPr>
              <w:t>Static Admission Interface</w:t>
            </w:r>
          </w:p>
        </w:tc>
        <w:tc>
          <w:tcPr>
            <w:tcW w:type="dxa" w:w="3360"/>
          </w:tcPr>
          <w:p>
            <w:r/>
            <w:r>
              <w:rPr>
                <w:b w:val="0"/>
                <w:sz w:val="18"/>
              </w:rPr>
              <w:t>Returns allow, deny, allow-with-limits, request-more-evidence, require-human-review, escalate, reframe, or abort based on static governance criteria.</w:t>
            </w:r>
          </w:p>
        </w:tc>
      </w:tr>
      <w:tr>
        <w:tc>
          <w:tcPr>
            <w:tcW w:type="dxa" w:w="3360"/>
          </w:tcPr>
          <w:p>
            <w:r/>
            <w:r>
              <w:rPr>
                <w:b w:val="0"/>
                <w:sz w:val="18"/>
              </w:rPr>
              <w:t>9</w:t>
            </w:r>
          </w:p>
        </w:tc>
        <w:tc>
          <w:tcPr>
            <w:tcW w:type="dxa" w:w="3360"/>
          </w:tcPr>
          <w:p>
            <w:r/>
            <w:r>
              <w:rPr>
                <w:b w:val="0"/>
                <w:sz w:val="18"/>
              </w:rPr>
              <w:t>Execution Boundary Interface</w:t>
            </w:r>
          </w:p>
        </w:tc>
        <w:tc>
          <w:tcPr>
            <w:tcW w:type="dxa" w:w="3360"/>
          </w:tcPr>
          <w:p>
            <w:r/>
            <w:r>
              <w:rPr>
                <w:b w:val="0"/>
                <w:sz w:val="18"/>
              </w:rPr>
              <w:t>Defines what admitted action may do. In phase one this is expressed as limits returned to the agent; in phase two it may be enforced inline.</w:t>
            </w:r>
          </w:p>
        </w:tc>
      </w:tr>
      <w:tr>
        <w:tc>
          <w:tcPr>
            <w:tcW w:type="dxa" w:w="3360"/>
          </w:tcPr>
          <w:p>
            <w:r/>
            <w:r>
              <w:rPr>
                <w:b w:val="0"/>
                <w:sz w:val="18"/>
              </w:rPr>
              <w:t>10</w:t>
            </w:r>
          </w:p>
        </w:tc>
        <w:tc>
          <w:tcPr>
            <w:tcW w:type="dxa" w:w="3360"/>
          </w:tcPr>
          <w:p>
            <w:r/>
            <w:r>
              <w:rPr>
                <w:b w:val="0"/>
                <w:sz w:val="18"/>
              </w:rPr>
              <w:t>Inline Runtime / Proxy Interface</w:t>
            </w:r>
          </w:p>
        </w:tc>
        <w:tc>
          <w:tcPr>
            <w:tcW w:type="dxa" w:w="3360"/>
          </w:tcPr>
          <w:p>
            <w:r/>
            <w:r>
              <w:rPr>
                <w:b w:val="0"/>
                <w:sz w:val="18"/>
              </w:rPr>
              <w:t>Later phase. PV-PP sits in the tool path and receives both outbound call and inbound tool result. Required for real runtime feedback.</w:t>
            </w:r>
          </w:p>
        </w:tc>
      </w:tr>
      <w:tr>
        <w:tc>
          <w:tcPr>
            <w:tcW w:type="dxa" w:w="3360"/>
          </w:tcPr>
          <w:p>
            <w:r/>
            <w:r>
              <w:rPr>
                <w:b w:val="0"/>
                <w:sz w:val="18"/>
              </w:rPr>
              <w:t>11</w:t>
            </w:r>
          </w:p>
        </w:tc>
        <w:tc>
          <w:tcPr>
            <w:tcW w:type="dxa" w:w="3360"/>
          </w:tcPr>
          <w:p>
            <w:r/>
            <w:r>
              <w:rPr>
                <w:b w:val="0"/>
                <w:sz w:val="18"/>
              </w:rPr>
              <w:t>Completion Verification Interface</w:t>
            </w:r>
          </w:p>
        </w:tc>
        <w:tc>
          <w:tcPr>
            <w:tcW w:type="dxa" w:w="3360"/>
          </w:tcPr>
          <w:p>
            <w:r/>
            <w:r>
              <w:rPr>
                <w:b w:val="0"/>
                <w:sz w:val="18"/>
              </w:rPr>
              <w:t>Later phase. Checks whether the action actually completed correctly and did not create false closure.</w:t>
            </w:r>
          </w:p>
        </w:tc>
      </w:tr>
      <w:tr>
        <w:tc>
          <w:tcPr>
            <w:tcW w:type="dxa" w:w="3360"/>
          </w:tcPr>
          <w:p>
            <w:r/>
            <w:r>
              <w:rPr>
                <w:b w:val="0"/>
                <w:sz w:val="18"/>
              </w:rPr>
              <w:t>12</w:t>
            </w:r>
          </w:p>
        </w:tc>
        <w:tc>
          <w:tcPr>
            <w:tcW w:type="dxa" w:w="3360"/>
          </w:tcPr>
          <w:p>
            <w:r/>
            <w:r>
              <w:rPr>
                <w:b w:val="0"/>
                <w:sz w:val="18"/>
              </w:rPr>
              <w:t>Trace / Memory Interface</w:t>
            </w:r>
          </w:p>
        </w:tc>
        <w:tc>
          <w:tcPr>
            <w:tcW w:type="dxa" w:w="3360"/>
          </w:tcPr>
          <w:p>
            <w:r/>
            <w:r>
              <w:rPr>
                <w:b w:val="0"/>
                <w:sz w:val="18"/>
              </w:rPr>
              <w:t>Records proposed action, frame used, decision, limits, result if available, and future warning flags.</w:t>
            </w:r>
          </w:p>
        </w:tc>
      </w:tr>
      <w:tr>
        <w:tc>
          <w:tcPr>
            <w:tcW w:type="dxa" w:w="3360"/>
          </w:tcPr>
          <w:p>
            <w:r/>
            <w:r>
              <w:rPr>
                <w:b w:val="0"/>
                <w:sz w:val="18"/>
              </w:rPr>
              <w:t>13</w:t>
            </w:r>
          </w:p>
        </w:tc>
        <w:tc>
          <w:tcPr>
            <w:tcW w:type="dxa" w:w="3360"/>
          </w:tcPr>
          <w:p>
            <w:r/>
            <w:r>
              <w:rPr>
                <w:b w:val="0"/>
                <w:sz w:val="18"/>
              </w:rPr>
              <w:t>Recovery / Reframing Interface</w:t>
            </w:r>
          </w:p>
        </w:tc>
        <w:tc>
          <w:tcPr>
            <w:tcW w:type="dxa" w:w="3360"/>
          </w:tcPr>
          <w:p>
            <w:r/>
            <w:r>
              <w:rPr>
                <w:b w:val="0"/>
                <w:sz w:val="18"/>
              </w:rPr>
              <w:t>Handles failure, missing domains, rejected actions, partial completion, changed state, and frame revision.</w:t>
            </w:r>
          </w:p>
        </w:tc>
      </w:tr>
    </w:tbl>
    <w:p/>
    <w:p>
      <w:pPr>
        <w:pStyle w:val="Heading1"/>
      </w:pPr>
      <w:r>
        <w:t>6. Public, Setup, Runtime, and Full Execution Zones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Zone</w:t>
            </w:r>
          </w:p>
        </w:tc>
        <w:tc>
          <w:tcPr>
            <w:tcW w:type="dxa" w:w="3360"/>
            <w:shd w:fill="D9EAF7"/>
          </w:tcPr>
          <w:p>
            <w:r/>
            <w:r>
              <w:rPr>
                <w:b/>
                <w:sz w:val="18"/>
              </w:rPr>
              <w:t>Interfaces</w:t>
            </w:r>
          </w:p>
        </w:tc>
        <w:tc>
          <w:tcPr>
            <w:tcW w:type="dxa" w:w="3360"/>
            <w:shd w:fill="D9EAF7"/>
          </w:tcPr>
          <w:p>
            <w:r/>
            <w:r>
              <w:rPr>
                <w:b/>
                <w:sz w:val="18"/>
              </w:rPr>
              <w:t>Purpose</w:t>
            </w:r>
          </w:p>
        </w:tc>
      </w:tr>
      <w:tr>
        <w:tc>
          <w:tcPr>
            <w:tcW w:type="dxa" w:w="3360"/>
          </w:tcPr>
          <w:p>
            <w:r/>
            <w:r>
              <w:rPr>
                <w:b w:val="0"/>
                <w:sz w:val="18"/>
              </w:rPr>
              <w:t>Public / Explanation</w:t>
            </w:r>
          </w:p>
        </w:tc>
        <w:tc>
          <w:tcPr>
            <w:tcW w:type="dxa" w:w="3360"/>
          </w:tcPr>
          <w:p>
            <w:r/>
            <w:r>
              <w:rPr>
                <w:b w:val="0"/>
                <w:sz w:val="18"/>
              </w:rPr>
              <w:t>1</w:t>
            </w:r>
          </w:p>
        </w:tc>
        <w:tc>
          <w:tcPr>
            <w:tcW w:type="dxa" w:w="3360"/>
          </w:tcPr>
          <w:p>
            <w:r/>
            <w:r>
              <w:rPr>
                <w:b w:val="0"/>
                <w:sz w:val="18"/>
              </w:rPr>
              <w:t>Explain PV-PP to readers, users, collaborators, or buyers.</w:t>
            </w:r>
          </w:p>
        </w:tc>
      </w:tr>
      <w:tr>
        <w:tc>
          <w:tcPr>
            <w:tcW w:type="dxa" w:w="3360"/>
          </w:tcPr>
          <w:p>
            <w:r/>
            <w:r>
              <w:rPr>
                <w:b w:val="0"/>
                <w:sz w:val="18"/>
              </w:rPr>
              <w:t>Assessment / Setup</w:t>
            </w:r>
          </w:p>
        </w:tc>
        <w:tc>
          <w:tcPr>
            <w:tcW w:type="dxa" w:w="3360"/>
          </w:tcPr>
          <w:p>
            <w:r/>
            <w:r>
              <w:rPr>
                <w:b w:val="0"/>
                <w:sz w:val="18"/>
              </w:rPr>
              <w:t>2-6</w:t>
            </w:r>
          </w:p>
        </w:tc>
        <w:tc>
          <w:tcPr>
            <w:tcW w:type="dxa" w:w="3360"/>
          </w:tcPr>
          <w:p>
            <w:r/>
            <w:r>
              <w:rPr>
                <w:b w:val="0"/>
                <w:sz w:val="18"/>
              </w:rPr>
              <w:t>Build the governance frame before sidecar runtime. This includes inventory, domain identification, constraints, and approval.</w:t>
            </w:r>
          </w:p>
        </w:tc>
      </w:tr>
      <w:tr>
        <w:tc>
          <w:tcPr>
            <w:tcW w:type="dxa" w:w="3360"/>
          </w:tcPr>
          <w:p>
            <w:r/>
            <w:r>
              <w:rPr>
                <w:b w:val="0"/>
                <w:sz w:val="18"/>
              </w:rPr>
              <w:t>Phase-One Runtime</w:t>
            </w:r>
          </w:p>
        </w:tc>
        <w:tc>
          <w:tcPr>
            <w:tcW w:type="dxa" w:w="3360"/>
          </w:tcPr>
          <w:p>
            <w:r/>
            <w:r>
              <w:rPr>
                <w:b w:val="0"/>
                <w:sz w:val="18"/>
              </w:rPr>
              <w:t>7-9</w:t>
            </w:r>
          </w:p>
        </w:tc>
        <w:tc>
          <w:tcPr>
            <w:tcW w:type="dxa" w:w="3360"/>
          </w:tcPr>
          <w:p>
            <w:r/>
            <w:r>
              <w:rPr>
                <w:b w:val="0"/>
                <w:sz w:val="18"/>
              </w:rPr>
              <w:t>Static sidecar admission before tool use. Low overhead; no dynamic tool-state guarantees.</w:t>
            </w:r>
          </w:p>
        </w:tc>
      </w:tr>
      <w:tr>
        <w:tc>
          <w:tcPr>
            <w:tcW w:type="dxa" w:w="3360"/>
          </w:tcPr>
          <w:p>
            <w:r/>
            <w:r>
              <w:rPr>
                <w:b w:val="0"/>
                <w:sz w:val="18"/>
              </w:rPr>
              <w:t>Phase-Two Runtime</w:t>
            </w:r>
          </w:p>
        </w:tc>
        <w:tc>
          <w:tcPr>
            <w:tcW w:type="dxa" w:w="3360"/>
          </w:tcPr>
          <w:p>
            <w:r/>
            <w:r>
              <w:rPr>
                <w:b w:val="0"/>
                <w:sz w:val="18"/>
              </w:rPr>
              <w:t>10-13</w:t>
            </w:r>
          </w:p>
        </w:tc>
        <w:tc>
          <w:tcPr>
            <w:tcW w:type="dxa" w:w="3360"/>
          </w:tcPr>
          <w:p>
            <w:r/>
            <w:r>
              <w:rPr>
                <w:b w:val="0"/>
                <w:sz w:val="18"/>
              </w:rPr>
              <w:t>Inline/proxy runtime with result feedback, completion verification, trace integration, recovery, and reframing.</w:t>
            </w:r>
          </w:p>
        </w:tc>
      </w:tr>
    </w:tbl>
    <w:p/>
    <w:p>
      <w:pPr>
        <w:pStyle w:val="Heading1"/>
      </w:pPr>
      <w:r>
        <w:t>7. Setup Path Before the Sidecar Exists</w:t>
      </w:r>
    </w:p>
    <w:p>
      <w:r>
        <w:t>The setup path is now explicit:</w:t>
      </w:r>
    </w:p>
    <w:p>
      <w:pPr>
        <w:pStyle w:val="ListNumber"/>
      </w:pPr>
      <w:r>
        <w:t>Take an inventory of the tools, workflows, APIs, data stores, output channels, and human handoff points.</w:t>
      </w:r>
    </w:p>
    <w:p>
      <w:pPr>
        <w:pStyle w:val="ListNumber"/>
      </w:pPr>
      <w:r>
        <w:t>Classify what each tool can do: read, search, draft, write, send, submit, delete, approve, route, transfer, print, finalize, or update records.</w:t>
      </w:r>
    </w:p>
    <w:p>
      <w:pPr>
        <w:pStyle w:val="ListNumber"/>
      </w:pPr>
      <w:r>
        <w:t>Map those capabilities to Productive Power domains.</w:t>
      </w:r>
    </w:p>
    <w:p>
      <w:pPr>
        <w:pStyle w:val="ListNumber"/>
      </w:pPr>
      <w:r>
        <w:t>Identify affected parties, institutional policies, data sensitivity, authority limits, and finalization risks.</w:t>
      </w:r>
    </w:p>
    <w:p>
      <w:pPr>
        <w:pStyle w:val="ListNumber"/>
      </w:pPr>
      <w:r>
        <w:t>Generate candidate Productive Power domains and candidate constraints.</w:t>
      </w:r>
    </w:p>
    <w:p>
      <w:pPr>
        <w:pStyle w:val="ListNumber"/>
      </w:pPr>
      <w:r>
        <w:t>Distinguish relevant domains from governing domains.</w:t>
      </w:r>
    </w:p>
    <w:p>
      <w:pPr>
        <w:pStyle w:val="ListNumber"/>
      </w:pPr>
      <w:r>
        <w:t>Send high-stakes domain frames and constraints to domain owners or institutional authorities for approval.</w:t>
      </w:r>
    </w:p>
    <w:p>
      <w:pPr>
        <w:pStyle w:val="ListNumber"/>
      </w:pPr>
      <w:r>
        <w:t>Convert the approved frame into static sidecar rules.</w:t>
      </w:r>
    </w:p>
    <w:p>
      <w:pPr>
        <w:pStyle w:val="ListNumber"/>
      </w:pPr>
      <w:r>
        <w:t>Only then configure the sidecar to govern proposed tool actions.</w:t>
      </w:r>
    </w:p>
    <w:p>
      <w:pPr>
        <w:pStyle w:val="Heading1"/>
      </w:pPr>
      <w:r>
        <w:t>8. Static Sidecar Boundary</w:t>
      </w:r>
    </w:p>
    <w:p>
      <w:r>
        <w:t>The static sidecar answers whether a proposed tool action should be admitted under the approved domain frame. It does not determine whether the tool is currently available, stocked, online, unstuck, under quota, or otherwise operationally able to execute. Those are dynamic runtime facts.</w:t>
      </w:r>
    </w:p>
    <w:p>
      <w:r>
        <w:t>Static sidecar governance is still meaningful because many decisions can be altered by stable constraints: confidentiality, location class, authorized user role, action class, data sensitivity, record modification authority, reversibility, external communication status, and finalization effect.</w:t>
      </w:r>
    </w:p>
    <w:p>
      <w:pPr>
        <w:pStyle w:val="Heading1"/>
      </w:pPr>
      <w:r>
        <w:t>9. Inline Runtime Boundary</w:t>
      </w:r>
    </w:p>
    <w:p>
      <w:r>
        <w:t>If current execution feedback matters, PV-PP must move into the inline runtime or proxy path. There is no scalable shortcut that gives reliable dynamic feedback without either accepting the tool result through the runtime path or imposing extra external monitoring overhead. For v0.2, daemon-based dynamic monitoring is not treated as the mainline architecture.</w:t>
      </w:r>
    </w:p>
    <w:p>
      <w:pPr>
        <w:pStyle w:val="Heading1"/>
      </w:pPr>
      <w:r>
        <w:t>10. Decision Implication</w:t>
      </w:r>
    </w:p>
    <w:p>
      <w:r>
        <w:t>The next schema should not include dynamic tool-state fields as mandatory phase-one fields. It should define the static admission request: actor, action, tool class, static tool attributes, authority requested, domain frame, evidence state, sensitivity class, reversibility, finalization class, and human-review requirement.</w:t>
      </w:r>
    </w:p>
    <w:p>
      <w:pPr>
        <w:pStyle w:val="Heading1"/>
      </w:pPr>
      <w:r>
        <w:t>11. Recommended Artifact Sequence After v0.2</w:t>
      </w:r>
    </w:p>
    <w:p>
      <w:pPr>
        <w:pStyle w:val="ListNumber"/>
      </w:pPr>
      <w:r>
        <w:t>PV-PP Agent Runtime Interface Ladder v0.2</w:t>
      </w:r>
    </w:p>
    <w:p>
      <w:pPr>
        <w:pStyle w:val="ListNumber"/>
      </w:pPr>
      <w:r>
        <w:t>PV-PP Tool Action Admission Sidecar v0.2</w:t>
      </w:r>
    </w:p>
    <w:p>
      <w:pPr>
        <w:pStyle w:val="ListNumber"/>
      </w:pPr>
      <w:r>
        <w:t>PV-PP Static Tool Governance Examples v0.2 or Example Pack v0.1</w:t>
      </w:r>
    </w:p>
    <w:p>
      <w:pPr>
        <w:pStyle w:val="ListNumber"/>
      </w:pPr>
      <w:r>
        <w:t>PV-PP Tool Action Admission Request Schema v0.1</w:t>
      </w:r>
    </w:p>
    <w:p>
      <w:pPr>
        <w:pStyle w:val="ListNumber"/>
      </w:pPr>
      <w:r>
        <w:t>PV-PP Admission Decision Packet Schema v0.1</w:t>
      </w:r>
    </w:p>
    <w:p>
      <w:pPr>
        <w:pStyle w:val="ListNumber"/>
      </w:pPr>
      <w:r>
        <w:t>PV-PP Reimbursement Agent Static Admission Prototype Specification v0.1</w:t>
      </w:r>
    </w:p>
    <w:p>
      <w:pPr>
        <w:pStyle w:val="ListNumber"/>
      </w:pPr>
      <w:r>
        <w:t>PV-PP Inline Runtime / Proxy Boundary v0.1</w:t>
      </w:r>
    </w:p>
    <w:p>
      <w:pPr>
        <w:pStyle w:val="Heading1"/>
      </w:pPr>
      <w:r>
        <w:t>12. Bottom Line</w:t>
      </w:r>
    </w:p>
    <w:p>
      <w:r>
        <w:t>The ladder now says: first explain and assess, then inventory tools, then build and approve the domain frame, then configure static sidecar rules, then govern proposed tool actions, and only later move into inline runtime when live execution feedback is required.</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A5A5A"/>
        <w:sz w:val="16"/>
      </w:rPr>
      <w:t>PV-PP Framework Workstream 4 - Runtime / Execution Formalization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6"/>
      </w:rPr>
      <w:t>PV-PP Agent Runtime Interface Ladder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1F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1F1F1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