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PV-PP Runtime Setup and Domain Frame Builder Guide v0.1</w:t>
      </w:r>
    </w:p>
    <w:p>
      <w:pPr>
        <w:jc w:val="center"/>
      </w:pPr>
      <w:r>
        <w:rPr>
          <w:i/>
          <w:sz w:val="22"/>
        </w:rPr>
        <w:t>Workstream 4: Runtime / Execution Formalization</w:t>
      </w:r>
    </w:p>
    <w:p/>
    <w:tbl>
      <w:tblPr>
        <w:tblStyle w:val="TableGrid"/>
        <w:tblW w:type="auto" w:w="0"/>
        <w:jc w:val="center"/>
        <w:tblLook w:firstColumn="1" w:firstRow="1" w:lastColumn="0" w:lastRow="0" w:noHBand="0" w:noVBand="1" w:val="04A0"/>
      </w:tblPr>
      <w:tblGrid>
        <w:gridCol w:w="10080"/>
      </w:tblGrid>
      <w:tr>
        <w:tc>
          <w:tcPr>
            <w:tcW w:type="dxa" w:w="10080"/>
            <w:shd w:fill="EAF2F8"/>
          </w:tcPr>
          <w:p>
            <w:r>
              <w:rPr>
                <w:b/>
                <w:sz w:val="18"/>
              </w:rPr>
              <w:t>Document Status</w:t>
            </w:r>
            <w:r>
              <w:rPr>
                <w:sz w:val="18"/>
              </w:rPr>
              <w:br/>
              <w:t>First setup-guide artifact for Workstream 4. This document sits upstream of the static sidecar. It explains how a tool/workflow environment is inventoried, how Productive Power domains and constraints are identified, how a domain frame is approved, and how that approved frame becomes sidecar-ready governance material.</w:t>
            </w:r>
          </w:p>
        </w:tc>
      </w:tr>
    </w:tbl>
    <w:p/>
    <w:p>
      <w:pPr>
        <w:pStyle w:val="Heading1"/>
      </w:pPr>
      <w:r>
        <w:t>1. Purpose</w:t>
      </w:r>
    </w:p>
    <w:p>
      <w:r>
        <w:t>This guide defines the pre-runtime setup procedure required before a PV-PP static sidecar can govern agent tool use. The sidecar should not be treated as a magical decision engine. It can only make useful admission decisions after the operating context, tool inventory, Productive Power domains, governing domains, constraints, and approval boundaries have been made explicit.</w:t>
      </w:r>
    </w:p>
    <w:p>
      <w:r>
        <w:t>The core question is:</w:t>
      </w:r>
    </w:p>
    <w:p>
      <w:pPr>
        <w:pStyle w:val="IntenseQuote"/>
      </w:pPr>
      <w:r>
        <w:rPr>
          <w:b/>
        </w:rPr>
        <w:t>How do we get from a human/workflow description of tools and purposes to a sidecar-ready static governance frame?</w:t>
      </w:r>
    </w:p>
    <w:p>
      <w:pPr>
        <w:pStyle w:val="Heading1"/>
      </w:pPr>
      <w:r>
        <w:t>2. Architectural Position</w:t>
      </w:r>
    </w:p>
    <w:p>
      <w:r>
        <w:t>The guide belongs between the explanation/assessment layers and the runtime sidecar. It is not the sidecar itself. It is the setup layer that produces the rule material the sidecar later consumes.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Interface Level</w:t>
            </w:r>
          </w:p>
        </w:tc>
        <w:tc>
          <w:tcPr>
            <w:tcW w:type="dxa" w:w="3360"/>
            <w:shd w:fill="D9EAF7"/>
          </w:tcPr>
          <w:p>
            <w:r/>
            <w:r>
              <w:rPr>
                <w:b/>
                <w:sz w:val="18"/>
              </w:rPr>
              <w:t>Function</w:t>
            </w:r>
          </w:p>
        </w:tc>
        <w:tc>
          <w:tcPr>
            <w:tcW w:type="dxa" w:w="3360"/>
            <w:shd w:fill="D9EAF7"/>
          </w:tcPr>
          <w:p>
            <w:r/>
            <w:r>
              <w:rPr>
                <w:b/>
                <w:sz w:val="18"/>
              </w:rPr>
              <w:t>Runtime Status</w:t>
            </w:r>
          </w:p>
        </w:tc>
      </w:tr>
      <w:tr>
        <w:tc>
          <w:tcPr>
            <w:tcW w:type="dxa" w:w="3360"/>
          </w:tcPr>
          <w:p>
            <w:r/>
            <w:r>
              <w:rPr>
                <w:b w:val="0"/>
                <w:sz w:val="18"/>
              </w:rPr>
              <w:t>Explanation Interface</w:t>
            </w:r>
          </w:p>
        </w:tc>
        <w:tc>
          <w:tcPr>
            <w:tcW w:type="dxa" w:w="3360"/>
          </w:tcPr>
          <w:p>
            <w:r/>
            <w:r>
              <w:rPr>
                <w:b w:val="0"/>
                <w:sz w:val="18"/>
              </w:rPr>
              <w:t>Explains PV-PP to humans and stakeholders.</w:t>
            </w:r>
          </w:p>
        </w:tc>
        <w:tc>
          <w:tcPr>
            <w:tcW w:type="dxa" w:w="3360"/>
          </w:tcPr>
          <w:p>
            <w:r/>
            <w:r>
              <w:rPr>
                <w:b w:val="0"/>
                <w:sz w:val="18"/>
              </w:rPr>
              <w:t>Public / non-runtime</w:t>
            </w:r>
          </w:p>
        </w:tc>
      </w:tr>
      <w:tr>
        <w:tc>
          <w:tcPr>
            <w:tcW w:type="dxa" w:w="3360"/>
          </w:tcPr>
          <w:p>
            <w:r/>
            <w:r>
              <w:rPr>
                <w:b w:val="0"/>
                <w:sz w:val="18"/>
              </w:rPr>
              <w:t>Assessment Interface</w:t>
            </w:r>
          </w:p>
        </w:tc>
        <w:tc>
          <w:tcPr>
            <w:tcW w:type="dxa" w:w="3360"/>
          </w:tcPr>
          <w:p>
            <w:r/>
            <w:r>
              <w:rPr>
                <w:b w:val="0"/>
                <w:sz w:val="18"/>
              </w:rPr>
              <w:t>Audits or frames the agent, workflow, tools, affected parties, and risk structure.</w:t>
            </w:r>
          </w:p>
        </w:tc>
        <w:tc>
          <w:tcPr>
            <w:tcW w:type="dxa" w:w="3360"/>
          </w:tcPr>
          <w:p>
            <w:r/>
            <w:r>
              <w:rPr>
                <w:b w:val="0"/>
                <w:sz w:val="18"/>
              </w:rPr>
              <w:t>Pre-runtime</w:t>
            </w:r>
          </w:p>
        </w:tc>
      </w:tr>
      <w:tr>
        <w:tc>
          <w:tcPr>
            <w:tcW w:type="dxa" w:w="3360"/>
          </w:tcPr>
          <w:p>
            <w:r/>
            <w:r>
              <w:rPr>
                <w:b w:val="0"/>
                <w:sz w:val="18"/>
              </w:rPr>
              <w:t>Domain Frame Builder Interface</w:t>
            </w:r>
          </w:p>
        </w:tc>
        <w:tc>
          <w:tcPr>
            <w:tcW w:type="dxa" w:w="3360"/>
          </w:tcPr>
          <w:p>
            <w:r/>
            <w:r>
              <w:rPr>
                <w:b w:val="0"/>
                <w:sz w:val="18"/>
              </w:rPr>
              <w:t>Converts tool inventory and workflow context into candidate domains, governing domains, and constraints.</w:t>
            </w:r>
          </w:p>
        </w:tc>
        <w:tc>
          <w:tcPr>
            <w:tcW w:type="dxa" w:w="3360"/>
          </w:tcPr>
          <w:p>
            <w:r/>
            <w:r>
              <w:rPr>
                <w:b w:val="0"/>
                <w:sz w:val="18"/>
              </w:rPr>
              <w:t>Pre-runtime setup</w:t>
            </w:r>
          </w:p>
        </w:tc>
      </w:tr>
      <w:tr>
        <w:tc>
          <w:tcPr>
            <w:tcW w:type="dxa" w:w="3360"/>
          </w:tcPr>
          <w:p>
            <w:r/>
            <w:r>
              <w:rPr>
                <w:b w:val="0"/>
                <w:sz w:val="18"/>
              </w:rPr>
              <w:t>Approval Interface</w:t>
            </w:r>
          </w:p>
        </w:tc>
        <w:tc>
          <w:tcPr>
            <w:tcW w:type="dxa" w:w="3360"/>
          </w:tcPr>
          <w:p>
            <w:r/>
            <w:r>
              <w:rPr>
                <w:b w:val="0"/>
                <w:sz w:val="18"/>
              </w:rPr>
              <w:t>Human or institutional confirmation of high-stakes governing domains and constraints.</w:t>
            </w:r>
          </w:p>
        </w:tc>
        <w:tc>
          <w:tcPr>
            <w:tcW w:type="dxa" w:w="3360"/>
          </w:tcPr>
          <w:p>
            <w:r/>
            <w:r>
              <w:rPr>
                <w:b w:val="0"/>
                <w:sz w:val="18"/>
              </w:rPr>
              <w:t>Pre-runtime authorization</w:t>
            </w:r>
          </w:p>
        </w:tc>
      </w:tr>
      <w:tr>
        <w:tc>
          <w:tcPr>
            <w:tcW w:type="dxa" w:w="3360"/>
          </w:tcPr>
          <w:p>
            <w:r/>
            <w:r>
              <w:rPr>
                <w:b w:val="0"/>
                <w:sz w:val="18"/>
              </w:rPr>
              <w:t>Static Sidecar Interface</w:t>
            </w:r>
          </w:p>
        </w:tc>
        <w:tc>
          <w:tcPr>
            <w:tcW w:type="dxa" w:w="3360"/>
          </w:tcPr>
          <w:p>
            <w:r/>
            <w:r>
              <w:rPr>
                <w:b w:val="0"/>
                <w:sz w:val="18"/>
              </w:rPr>
              <w:t>Consumes the approved frame and returns admission decisions for proposed tool actions.</w:t>
            </w:r>
          </w:p>
        </w:tc>
        <w:tc>
          <w:tcPr>
            <w:tcW w:type="dxa" w:w="3360"/>
          </w:tcPr>
          <w:p>
            <w:r/>
            <w:r>
              <w:rPr>
                <w:b w:val="0"/>
                <w:sz w:val="18"/>
              </w:rPr>
              <w:t>Phase-one runtime boundary</w:t>
            </w:r>
          </w:p>
        </w:tc>
      </w:tr>
    </w:tbl>
    <w:p/>
    <w:tbl>
      <w:tblPr>
        <w:tblStyle w:val="TableGrid"/>
        <w:tblW w:type="auto" w:w="0"/>
        <w:jc w:val="center"/>
        <w:tblLook w:firstColumn="1" w:firstRow="1" w:lastColumn="0" w:lastRow="0" w:noHBand="0" w:noVBand="1" w:val="04A0"/>
      </w:tblPr>
      <w:tblGrid>
        <w:gridCol w:w="10080"/>
      </w:tblGrid>
      <w:tr>
        <w:tc>
          <w:tcPr>
            <w:tcW w:type="dxa" w:w="10080"/>
            <w:shd w:fill="EAF2F8"/>
          </w:tcPr>
          <w:p>
            <w:r>
              <w:rPr>
                <w:b/>
                <w:sz w:val="18"/>
              </w:rPr>
              <w:t>Boundary Rule</w:t>
            </w:r>
            <w:r>
              <w:rPr>
                <w:sz w:val="18"/>
              </w:rPr>
              <w:br/>
              <w:t>Domain construction happens before the sidecar. The sidecar consumes an approved frame. It should not independently invent high-stakes governing domains at tool-call time.</w:t>
            </w:r>
          </w:p>
        </w:tc>
      </w:tr>
    </w:tbl>
    <w:p/>
    <w:p>
      <w:pPr>
        <w:pStyle w:val="Heading1"/>
      </w:pPr>
      <w:r>
        <w:t>3. Why the Setup Layer Is Necessary</w:t>
      </w:r>
    </w:p>
    <w:p>
      <w:r>
        <w:t>A static sidecar can alter decisions only if it has structured rules to apply. Those rules are not generic tool permissions. They are domain-specific constraints on the use of Productive Power in context.</w:t>
      </w:r>
    </w:p>
    <w:p>
      <w:r>
        <w:t>Example: a printer has the productive power to create printed output. Static governance asks whether that productive power may be used for this actor, document, location, sensitivity class, and purpose. The answer can be no even though the printer is technically capable of printing.</w:t>
      </w:r>
    </w:p>
    <w:p>
      <w:pPr>
        <w:pStyle w:val="ListBullet"/>
      </w:pPr>
      <w:r>
        <w:t>A printer in a public hallway may be inadmissible for confidential documents.</w:t>
      </w:r>
    </w:p>
    <w:p>
      <w:pPr>
        <w:pStyle w:val="ListBullet"/>
      </w:pPr>
      <w:r>
        <w:t>A printer in another building may be inadmissible for urgent same-room workflow support.</w:t>
      </w:r>
    </w:p>
    <w:p>
      <w:pPr>
        <w:pStyle w:val="ListBullet"/>
      </w:pPr>
      <w:r>
        <w:t>A travel-booking tool may be inadmissible for purchasing non-refundable travel without human confirmation.</w:t>
      </w:r>
    </w:p>
    <w:p>
      <w:pPr>
        <w:pStyle w:val="ListBullet"/>
      </w:pPr>
      <w:r>
        <w:t>A reimbursement tool may be admissible for draft extraction but inadmissible for approval, submission, or eligibility certification.</w:t>
      </w:r>
    </w:p>
    <w:p>
      <w:pPr>
        <w:pStyle w:val="Heading1"/>
      </w:pPr>
      <w:r>
        <w:t>4. Setup Procedure Overview</w:t>
      </w:r>
    </w:p>
    <w:p>
      <w:pPr>
        <w:pStyle w:val="ListNumber"/>
      </w:pPr>
      <w:r>
        <w:t>Define the operating frame.</w:t>
      </w:r>
    </w:p>
    <w:p>
      <w:pPr>
        <w:pStyle w:val="ListNumber"/>
      </w:pPr>
      <w:r>
        <w:t>Inventory the tools and workflows.</w:t>
      </w:r>
    </w:p>
    <w:p>
      <w:pPr>
        <w:pStyle w:val="ListNumber"/>
      </w:pPr>
      <w:r>
        <w:t>Classify tool actions by authority level.</w:t>
      </w:r>
    </w:p>
    <w:p>
      <w:pPr>
        <w:pStyle w:val="ListNumber"/>
      </w:pPr>
      <w:r>
        <w:t>Identify candidate Productive Power domains.</w:t>
      </w:r>
    </w:p>
    <w:p>
      <w:pPr>
        <w:pStyle w:val="ListNumber"/>
      </w:pPr>
      <w:r>
        <w:t>Separate relevant domains from governing domains.</w:t>
      </w:r>
    </w:p>
    <w:p>
      <w:pPr>
        <w:pStyle w:val="ListNumber"/>
      </w:pPr>
      <w:r>
        <w:t>Define domain constraints and admission rules.</w:t>
      </w:r>
    </w:p>
    <w:p>
      <w:pPr>
        <w:pStyle w:val="ListNumber"/>
      </w:pPr>
      <w:r>
        <w:t>Identify evidence requirements and missing-information rules.</w:t>
      </w:r>
    </w:p>
    <w:p>
      <w:pPr>
        <w:pStyle w:val="ListNumber"/>
      </w:pPr>
      <w:r>
        <w:t>Assign domain owners and approval duties.</w:t>
      </w:r>
    </w:p>
    <w:p>
      <w:pPr>
        <w:pStyle w:val="ListNumber"/>
      </w:pPr>
      <w:r>
        <w:t>Produce a sidecar-ready governance frame.</w:t>
      </w:r>
    </w:p>
    <w:p>
      <w:pPr>
        <w:pStyle w:val="ListNumber"/>
      </w:pPr>
      <w:r>
        <w:t>Test the frame against concrete examples before implementation.</w:t>
      </w:r>
    </w:p>
    <w:p>
      <w:pPr>
        <w:pStyle w:val="Heading1"/>
      </w:pPr>
      <w:r>
        <w:t>5. Step 1 - Define the Operating Frame</w:t>
      </w:r>
    </w:p>
    <w:p>
      <w:r>
        <w:t>The operating frame states what the agent or workflow is supposed to do and what it is not allowed to do. This is the root frame that prevents domain identification from floating freely.</w:t>
      </w:r>
    </w:p>
    <w:p>
      <w:pPr>
        <w:pStyle w:val="ListBullet"/>
      </w:pPr>
      <w:r>
        <w:t>What is the workflow purpose?</w:t>
      </w:r>
    </w:p>
    <w:p>
      <w:pPr>
        <w:pStyle w:val="ListBullet"/>
      </w:pPr>
      <w:r>
        <w:t>Who are the direct users?</w:t>
      </w:r>
    </w:p>
    <w:p>
      <w:pPr>
        <w:pStyle w:val="ListBullet"/>
      </w:pPr>
      <w:r>
        <w:t>Who are the affected parties?</w:t>
      </w:r>
    </w:p>
    <w:p>
      <w:pPr>
        <w:pStyle w:val="ListBullet"/>
      </w:pPr>
      <w:r>
        <w:t>What institutional or policy context applies?</w:t>
      </w:r>
    </w:p>
    <w:p>
      <w:pPr>
        <w:pStyle w:val="ListBullet"/>
      </w:pPr>
      <w:r>
        <w:t>What counts as success?</w:t>
      </w:r>
    </w:p>
    <w:p>
      <w:pPr>
        <w:pStyle w:val="ListBullet"/>
      </w:pPr>
      <w:r>
        <w:t>What kinds of failure matter?</w:t>
      </w:r>
    </w:p>
    <w:p>
      <w:pPr>
        <w:pStyle w:val="ListBullet"/>
      </w:pPr>
      <w:r>
        <w:t>What is explicitly outside scope?</w:t>
      </w:r>
    </w:p>
    <w:p>
      <w:pPr>
        <w:pStyle w:val="Heading1"/>
      </w:pPr>
      <w:r>
        <w:t>6. Step 2 - Inventory the Tooling</w:t>
      </w:r>
    </w:p>
    <w:p>
      <w:r>
        <w:t>Tool inventory is not just a list of available tools. It is a map of productive powers. Each tool has capacities, permitted use classes, static constraints, authority boundaries, and domain exposures.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Inventory Field</w:t>
            </w:r>
          </w:p>
        </w:tc>
        <w:tc>
          <w:tcPr>
            <w:tcW w:type="dxa" w:w="5040"/>
            <w:shd w:fill="D9EAF7"/>
          </w:tcPr>
          <w:p>
            <w:r/>
            <w:r>
              <w:rPr>
                <w:b/>
                <w:sz w:val="18"/>
              </w:rPr>
              <w:t>Meaning</w:t>
            </w:r>
          </w:p>
        </w:tc>
      </w:tr>
      <w:tr>
        <w:tc>
          <w:tcPr>
            <w:tcW w:type="dxa" w:w="5040"/>
          </w:tcPr>
          <w:p>
            <w:r/>
            <w:r>
              <w:rPr>
                <w:b w:val="0"/>
                <w:sz w:val="18"/>
              </w:rPr>
              <w:t>Tool name / ID</w:t>
            </w:r>
          </w:p>
        </w:tc>
        <w:tc>
          <w:tcPr>
            <w:tcW w:type="dxa" w:w="5040"/>
          </w:tcPr>
          <w:p>
            <w:r/>
            <w:r>
              <w:rPr>
                <w:b w:val="0"/>
                <w:sz w:val="18"/>
              </w:rPr>
              <w:t>The tool, API, workflow, device, or system being governed.</w:t>
            </w:r>
          </w:p>
        </w:tc>
      </w:tr>
      <w:tr>
        <w:tc>
          <w:tcPr>
            <w:tcW w:type="dxa" w:w="5040"/>
          </w:tcPr>
          <w:p>
            <w:r/>
            <w:r>
              <w:rPr>
                <w:b w:val="0"/>
                <w:sz w:val="18"/>
              </w:rPr>
              <w:t>Tool class</w:t>
            </w:r>
          </w:p>
        </w:tc>
        <w:tc>
          <w:tcPr>
            <w:tcW w:type="dxa" w:w="5040"/>
          </w:tcPr>
          <w:p>
            <w:r/>
            <w:r>
              <w:rPr>
                <w:b w:val="0"/>
                <w:sz w:val="18"/>
              </w:rPr>
              <w:t>Printer, email, database, travel-booking, reimbursement, file system, payment, calendar, etc.</w:t>
            </w:r>
          </w:p>
        </w:tc>
      </w:tr>
      <w:tr>
        <w:tc>
          <w:tcPr>
            <w:tcW w:type="dxa" w:w="5040"/>
          </w:tcPr>
          <w:p>
            <w:r/>
            <w:r>
              <w:rPr>
                <w:b w:val="0"/>
                <w:sz w:val="18"/>
              </w:rPr>
              <w:t>Available operations</w:t>
            </w:r>
          </w:p>
        </w:tc>
        <w:tc>
          <w:tcPr>
            <w:tcW w:type="dxa" w:w="5040"/>
          </w:tcPr>
          <w:p>
            <w:r/>
            <w:r>
              <w:rPr>
                <w:b w:val="0"/>
                <w:sz w:val="18"/>
              </w:rPr>
              <w:t>Read, draft, summarize, classify, write, send, submit, delete, approve, purchase, finalize.</w:t>
            </w:r>
          </w:p>
        </w:tc>
      </w:tr>
      <w:tr>
        <w:tc>
          <w:tcPr>
            <w:tcW w:type="dxa" w:w="5040"/>
          </w:tcPr>
          <w:p>
            <w:r/>
            <w:r>
              <w:rPr>
                <w:b w:val="0"/>
                <w:sz w:val="18"/>
              </w:rPr>
              <w:t>Authority level</w:t>
            </w:r>
          </w:p>
        </w:tc>
        <w:tc>
          <w:tcPr>
            <w:tcW w:type="dxa" w:w="5040"/>
          </w:tcPr>
          <w:p>
            <w:r/>
            <w:r>
              <w:rPr>
                <w:b w:val="0"/>
                <w:sz w:val="18"/>
              </w:rPr>
              <w:t>What type of power the tool action exercises.</w:t>
            </w:r>
          </w:p>
        </w:tc>
      </w:tr>
      <w:tr>
        <w:tc>
          <w:tcPr>
            <w:tcW w:type="dxa" w:w="5040"/>
          </w:tcPr>
          <w:p>
            <w:r/>
            <w:r>
              <w:rPr>
                <w:b w:val="0"/>
                <w:sz w:val="18"/>
              </w:rPr>
              <w:t>Static location / context</w:t>
            </w:r>
          </w:p>
        </w:tc>
        <w:tc>
          <w:tcPr>
            <w:tcW w:type="dxa" w:w="5040"/>
          </w:tcPr>
          <w:p>
            <w:r/>
            <w:r>
              <w:rPr>
                <w:b w:val="0"/>
                <w:sz w:val="18"/>
              </w:rPr>
              <w:t>Building, room, security zone, system boundary, public/private environment.</w:t>
            </w:r>
          </w:p>
        </w:tc>
      </w:tr>
      <w:tr>
        <w:tc>
          <w:tcPr>
            <w:tcW w:type="dxa" w:w="5040"/>
          </w:tcPr>
          <w:p>
            <w:r/>
            <w:r>
              <w:rPr>
                <w:b w:val="0"/>
                <w:sz w:val="18"/>
              </w:rPr>
              <w:t>Data sensitivity</w:t>
            </w:r>
          </w:p>
        </w:tc>
        <w:tc>
          <w:tcPr>
            <w:tcW w:type="dxa" w:w="5040"/>
          </w:tcPr>
          <w:p>
            <w:r/>
            <w:r>
              <w:rPr>
                <w:b w:val="0"/>
                <w:sz w:val="18"/>
              </w:rPr>
              <w:t>Public, internal, confidential, regulated, financial, legal, personal, security-sensitive.</w:t>
            </w:r>
          </w:p>
        </w:tc>
      </w:tr>
      <w:tr>
        <w:tc>
          <w:tcPr>
            <w:tcW w:type="dxa" w:w="5040"/>
          </w:tcPr>
          <w:p>
            <w:r/>
            <w:r>
              <w:rPr>
                <w:b w:val="0"/>
                <w:sz w:val="18"/>
              </w:rPr>
              <w:t>Static constraints</w:t>
            </w:r>
          </w:p>
        </w:tc>
        <w:tc>
          <w:tcPr>
            <w:tcW w:type="dxa" w:w="5040"/>
          </w:tcPr>
          <w:p>
            <w:r/>
            <w:r>
              <w:rPr>
                <w:b w:val="0"/>
                <w:sz w:val="18"/>
              </w:rPr>
              <w:t>Rules that do not require live status: no confidential print in public room, no external send without review, no final submission by agent.</w:t>
            </w:r>
          </w:p>
        </w:tc>
      </w:tr>
      <w:tr>
        <w:tc>
          <w:tcPr>
            <w:tcW w:type="dxa" w:w="5040"/>
          </w:tcPr>
          <w:p>
            <w:r/>
            <w:r>
              <w:rPr>
                <w:b w:val="0"/>
                <w:sz w:val="18"/>
              </w:rPr>
              <w:t>Owner / reviewer</w:t>
            </w:r>
          </w:p>
        </w:tc>
        <w:tc>
          <w:tcPr>
            <w:tcW w:type="dxa" w:w="5040"/>
          </w:tcPr>
          <w:p>
            <w:r/>
            <w:r>
              <w:rPr>
                <w:b w:val="0"/>
                <w:sz w:val="18"/>
              </w:rPr>
              <w:t>Human or institutional owner responsible for confirming high-stakes constraints.</w:t>
            </w:r>
          </w:p>
        </w:tc>
      </w:tr>
    </w:tbl>
    <w:p/>
    <w:p>
      <w:pPr>
        <w:pStyle w:val="Heading1"/>
      </w:pPr>
      <w:r>
        <w:t>7. Step 3 - Classify Tool Actions by Authority Level</w:t>
      </w:r>
    </w:p>
    <w:p>
      <w:r>
        <w:t>The sidecar must know the difference between low-authority and high-authority uses of the same tool. The same tool may be allowed for reading and blocked for finalization.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Action Class</w:t>
            </w:r>
          </w:p>
        </w:tc>
        <w:tc>
          <w:tcPr>
            <w:tcW w:type="dxa" w:w="5040"/>
            <w:shd w:fill="D9EAF7"/>
          </w:tcPr>
          <w:p>
            <w:r/>
            <w:r>
              <w:rPr>
                <w:b/>
                <w:sz w:val="18"/>
              </w:rPr>
              <w:t>Default Static Governance Posture</w:t>
            </w:r>
          </w:p>
        </w:tc>
      </w:tr>
      <w:tr>
        <w:tc>
          <w:tcPr>
            <w:tcW w:type="dxa" w:w="5040"/>
          </w:tcPr>
          <w:p>
            <w:r/>
            <w:r>
              <w:rPr>
                <w:b w:val="0"/>
                <w:sz w:val="18"/>
              </w:rPr>
              <w:t>Read / retrieve</w:t>
            </w:r>
          </w:p>
        </w:tc>
        <w:tc>
          <w:tcPr>
            <w:tcW w:type="dxa" w:w="5040"/>
          </w:tcPr>
          <w:p>
            <w:r/>
            <w:r>
              <w:rPr>
                <w:b w:val="0"/>
                <w:sz w:val="18"/>
              </w:rPr>
              <w:t>Usually admissible if actor, data sensitivity, and purpose match the frame.</w:t>
            </w:r>
          </w:p>
        </w:tc>
      </w:tr>
      <w:tr>
        <w:tc>
          <w:tcPr>
            <w:tcW w:type="dxa" w:w="5040"/>
          </w:tcPr>
          <w:p>
            <w:r/>
            <w:r>
              <w:rPr>
                <w:b w:val="0"/>
                <w:sz w:val="18"/>
              </w:rPr>
              <w:t>Extract / summarize</w:t>
            </w:r>
          </w:p>
        </w:tc>
        <w:tc>
          <w:tcPr>
            <w:tcW w:type="dxa" w:w="5040"/>
          </w:tcPr>
          <w:p>
            <w:r/>
            <w:r>
              <w:rPr>
                <w:b w:val="0"/>
                <w:sz w:val="18"/>
              </w:rPr>
              <w:t>Usually admissible with source-linking and assumption flags.</w:t>
            </w:r>
          </w:p>
        </w:tc>
      </w:tr>
      <w:tr>
        <w:tc>
          <w:tcPr>
            <w:tcW w:type="dxa" w:w="5040"/>
          </w:tcPr>
          <w:p>
            <w:r/>
            <w:r>
              <w:rPr>
                <w:b w:val="0"/>
                <w:sz w:val="18"/>
              </w:rPr>
              <w:t>Draft / prepare</w:t>
            </w:r>
          </w:p>
        </w:tc>
        <w:tc>
          <w:tcPr>
            <w:tcW w:type="dxa" w:w="5040"/>
          </w:tcPr>
          <w:p>
            <w:r/>
            <w:r>
              <w:rPr>
                <w:b w:val="0"/>
                <w:sz w:val="18"/>
              </w:rPr>
              <w:t>Often admissible if clearly marked non-final.</w:t>
            </w:r>
          </w:p>
        </w:tc>
      </w:tr>
      <w:tr>
        <w:tc>
          <w:tcPr>
            <w:tcW w:type="dxa" w:w="5040"/>
          </w:tcPr>
          <w:p>
            <w:r/>
            <w:r>
              <w:rPr>
                <w:b w:val="0"/>
                <w:sz w:val="18"/>
              </w:rPr>
              <w:t>Classify / recommend</w:t>
            </w:r>
          </w:p>
        </w:tc>
        <w:tc>
          <w:tcPr>
            <w:tcW w:type="dxa" w:w="5040"/>
          </w:tcPr>
          <w:p>
            <w:r/>
            <w:r>
              <w:rPr>
                <w:b w:val="0"/>
                <w:sz w:val="18"/>
              </w:rPr>
              <w:t>Conditional; higher review where classification affects eligibility, rights, finance, safety, privacy, or compliance.</w:t>
            </w:r>
          </w:p>
        </w:tc>
      </w:tr>
      <w:tr>
        <w:tc>
          <w:tcPr>
            <w:tcW w:type="dxa" w:w="5040"/>
          </w:tcPr>
          <w:p>
            <w:r/>
            <w:r>
              <w:rPr>
                <w:b w:val="0"/>
                <w:sz w:val="18"/>
              </w:rPr>
              <w:t>Write / modify</w:t>
            </w:r>
          </w:p>
        </w:tc>
        <w:tc>
          <w:tcPr>
            <w:tcW w:type="dxa" w:w="5040"/>
          </w:tcPr>
          <w:p>
            <w:r/>
            <w:r>
              <w:rPr>
                <w:b w:val="0"/>
                <w:sz w:val="18"/>
              </w:rPr>
              <w:t>Requires stronger authority and trace.</w:t>
            </w:r>
          </w:p>
        </w:tc>
      </w:tr>
      <w:tr>
        <w:tc>
          <w:tcPr>
            <w:tcW w:type="dxa" w:w="5040"/>
          </w:tcPr>
          <w:p>
            <w:r/>
            <w:r>
              <w:rPr>
                <w:b w:val="0"/>
                <w:sz w:val="18"/>
              </w:rPr>
              <w:t>Send / publish / external communicate</w:t>
            </w:r>
          </w:p>
        </w:tc>
        <w:tc>
          <w:tcPr>
            <w:tcW w:type="dxa" w:w="5040"/>
          </w:tcPr>
          <w:p>
            <w:r/>
            <w:r>
              <w:rPr>
                <w:b w:val="0"/>
                <w:sz w:val="18"/>
              </w:rPr>
              <w:t>Usually human review unless low-risk and pre-approved.</w:t>
            </w:r>
          </w:p>
        </w:tc>
      </w:tr>
      <w:tr>
        <w:tc>
          <w:tcPr>
            <w:tcW w:type="dxa" w:w="5040"/>
          </w:tcPr>
          <w:p>
            <w:r/>
            <w:r>
              <w:rPr>
                <w:b w:val="0"/>
                <w:sz w:val="18"/>
              </w:rPr>
              <w:t>Submit / approve / certify / finalize</w:t>
            </w:r>
          </w:p>
        </w:tc>
        <w:tc>
          <w:tcPr>
            <w:tcW w:type="dxa" w:w="5040"/>
          </w:tcPr>
          <w:p>
            <w:r/>
            <w:r>
              <w:rPr>
                <w:b w:val="0"/>
                <w:sz w:val="18"/>
              </w:rPr>
              <w:t>High-risk; normally human review or denial for phase-one static sidecar.</w:t>
            </w:r>
          </w:p>
        </w:tc>
      </w:tr>
      <w:tr>
        <w:tc>
          <w:tcPr>
            <w:tcW w:type="dxa" w:w="5040"/>
          </w:tcPr>
          <w:p>
            <w:r/>
            <w:r>
              <w:rPr>
                <w:b w:val="0"/>
                <w:sz w:val="18"/>
              </w:rPr>
              <w:t>Delete / revoke / transfer / purchase</w:t>
            </w:r>
          </w:p>
        </w:tc>
        <w:tc>
          <w:tcPr>
            <w:tcW w:type="dxa" w:w="5040"/>
          </w:tcPr>
          <w:p>
            <w:r/>
            <w:r>
              <w:rPr>
                <w:b w:val="0"/>
                <w:sz w:val="18"/>
              </w:rPr>
              <w:t>High-risk; normally human review or denial unless narrowly pre-authorized.</w:t>
            </w:r>
          </w:p>
        </w:tc>
      </w:tr>
    </w:tbl>
    <w:p>
      <w:pPr>
        <w:pStyle w:val="Heading1"/>
      </w:pPr>
      <w:r>
        <w:t>8. Step 4 - Identify Candidate Productive Power Domains</w:t>
      </w:r>
    </w:p>
    <w:p>
      <w:r>
        <w:t>Candidate domains are first collected broadly. They are not all governing domains. The setup process should ask the user or institution for obvious domains, then have the Domain Frame Builder propose missing domains that the user may have failed to identify.</w:t>
      </w:r>
    </w:p>
    <w:p>
      <w:pPr>
        <w:pStyle w:val="ListBullet"/>
      </w:pPr>
      <w:r>
        <w:t>Start with user-identified domains: what must this workflow preserve?</w:t>
      </w:r>
    </w:p>
    <w:p>
      <w:pPr>
        <w:pStyle w:val="ListBullet"/>
      </w:pPr>
      <w:r>
        <w:t>Add tool-implied domains: what domains does each tool threaten or support?</w:t>
      </w:r>
    </w:p>
    <w:p>
      <w:pPr>
        <w:pStyle w:val="ListBullet"/>
      </w:pPr>
      <w:r>
        <w:t>Add affected-party domains: who can be harmed, delayed, misled, exposed, or deprived?</w:t>
      </w:r>
    </w:p>
    <w:p>
      <w:pPr>
        <w:pStyle w:val="ListBullet"/>
      </w:pPr>
      <w:r>
        <w:t>Add institutional domains: compliance, auditability, policy integrity, financial integrity, security, privacy, accountability.</w:t>
      </w:r>
    </w:p>
    <w:p>
      <w:pPr>
        <w:pStyle w:val="ListBullet"/>
      </w:pPr>
      <w:r>
        <w:t>Add operational domains: timeliness, accessibility, recoverability, continuity, workload, location suitability.</w:t>
      </w:r>
    </w:p>
    <w:p>
      <w:pPr>
        <w:pStyle w:val="Heading1"/>
      </w:pPr>
      <w:r>
        <w:t>9. Step 5 - Separate Relevant Domains from Governing Domains</w:t>
      </w:r>
    </w:p>
    <w:p>
      <w:r>
        <w:t>Relevant domains matter, but governing domains bind action. A domain becomes governing when violation would make the action inadmissible, require review, require reframing, or damage recoverable viability.</w:t>
      </w:r>
    </w:p>
    <w:tbl>
      <w:tblPr>
        <w:tblStyle w:val="TableGrid"/>
        <w:tblW w:type="auto" w:w="0"/>
        <w:jc w:val="center"/>
        <w:tblLook w:firstColumn="1" w:firstRow="1" w:lastColumn="0" w:lastRow="0" w:noHBand="0" w:noVBand="1" w:val="04A0"/>
      </w:tblPr>
      <w:tblGrid>
        <w:gridCol w:w="10080"/>
      </w:tblGrid>
      <w:tr>
        <w:tc>
          <w:tcPr>
            <w:tcW w:type="dxa" w:w="10080"/>
            <w:shd w:fill="EAF2F8"/>
          </w:tcPr>
          <w:p>
            <w:r>
              <w:rPr>
                <w:b/>
                <w:sz w:val="18"/>
              </w:rPr>
              <w:t>Key Rule</w:t>
            </w:r>
            <w:r>
              <w:rPr>
                <w:sz w:val="18"/>
              </w:rPr>
              <w:br/>
              <w:t>The Domain Frame Builder may propose governing domains, but high-stakes governing-domain confirmation must be human, institutional, or policy-owned. An LLM can assist discovery; it should not be the sole authority for high-stakes governance.</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Domain Type</w:t>
            </w:r>
          </w:p>
        </w:tc>
        <w:tc>
          <w:tcPr>
            <w:tcW w:type="dxa" w:w="3360"/>
            <w:shd w:fill="D9EAF7"/>
          </w:tcPr>
          <w:p>
            <w:r/>
            <w:r>
              <w:rPr>
                <w:b/>
                <w:sz w:val="18"/>
              </w:rPr>
              <w:t>Definition</w:t>
            </w:r>
          </w:p>
        </w:tc>
        <w:tc>
          <w:tcPr>
            <w:tcW w:type="dxa" w:w="3360"/>
            <w:shd w:fill="D9EAF7"/>
          </w:tcPr>
          <w:p>
            <w:r/>
            <w:r>
              <w:rPr>
                <w:b/>
                <w:sz w:val="18"/>
              </w:rPr>
              <w:t>Sidecar Effect</w:t>
            </w:r>
          </w:p>
        </w:tc>
      </w:tr>
      <w:tr>
        <w:tc>
          <w:tcPr>
            <w:tcW w:type="dxa" w:w="3360"/>
          </w:tcPr>
          <w:p>
            <w:r/>
            <w:r>
              <w:rPr>
                <w:b w:val="0"/>
                <w:sz w:val="18"/>
              </w:rPr>
              <w:t>Candidate domain</w:t>
            </w:r>
          </w:p>
        </w:tc>
        <w:tc>
          <w:tcPr>
            <w:tcW w:type="dxa" w:w="3360"/>
          </w:tcPr>
          <w:p>
            <w:r/>
            <w:r>
              <w:rPr>
                <w:b w:val="0"/>
                <w:sz w:val="18"/>
              </w:rPr>
              <w:t>A domain that may matter and should be reviewed.</w:t>
            </w:r>
          </w:p>
        </w:tc>
        <w:tc>
          <w:tcPr>
            <w:tcW w:type="dxa" w:w="3360"/>
          </w:tcPr>
          <w:p>
            <w:r/>
            <w:r>
              <w:rPr>
                <w:b w:val="0"/>
                <w:sz w:val="18"/>
              </w:rPr>
              <w:t>No direct rule until confirmed.</w:t>
            </w:r>
          </w:p>
        </w:tc>
      </w:tr>
      <w:tr>
        <w:tc>
          <w:tcPr>
            <w:tcW w:type="dxa" w:w="3360"/>
          </w:tcPr>
          <w:p>
            <w:r/>
            <w:r>
              <w:rPr>
                <w:b w:val="0"/>
                <w:sz w:val="18"/>
              </w:rPr>
              <w:t>Relevant domain</w:t>
            </w:r>
          </w:p>
        </w:tc>
        <w:tc>
          <w:tcPr>
            <w:tcW w:type="dxa" w:w="3360"/>
          </w:tcPr>
          <w:p>
            <w:r/>
            <w:r>
              <w:rPr>
                <w:b w:val="0"/>
                <w:sz w:val="18"/>
              </w:rPr>
              <w:t>A domain materially affected by the tool or workflow.</w:t>
            </w:r>
          </w:p>
        </w:tc>
        <w:tc>
          <w:tcPr>
            <w:tcW w:type="dxa" w:w="3360"/>
          </w:tcPr>
          <w:p>
            <w:r/>
            <w:r>
              <w:rPr>
                <w:b w:val="0"/>
                <w:sz w:val="18"/>
              </w:rPr>
              <w:t>May create evidence, trace, or warning duties.</w:t>
            </w:r>
          </w:p>
        </w:tc>
      </w:tr>
      <w:tr>
        <w:tc>
          <w:tcPr>
            <w:tcW w:type="dxa" w:w="3360"/>
          </w:tcPr>
          <w:p>
            <w:r/>
            <w:r>
              <w:rPr>
                <w:b w:val="0"/>
                <w:sz w:val="18"/>
              </w:rPr>
              <w:t>Governing domain</w:t>
            </w:r>
          </w:p>
        </w:tc>
        <w:tc>
          <w:tcPr>
            <w:tcW w:type="dxa" w:w="3360"/>
          </w:tcPr>
          <w:p>
            <w:r/>
            <w:r>
              <w:rPr>
                <w:b w:val="0"/>
                <w:sz w:val="18"/>
              </w:rPr>
              <w:t>A domain whose constraint must be preserved for the action to be admitted.</w:t>
            </w:r>
          </w:p>
        </w:tc>
        <w:tc>
          <w:tcPr>
            <w:tcW w:type="dxa" w:w="3360"/>
          </w:tcPr>
          <w:p>
            <w:r/>
            <w:r>
              <w:rPr>
                <w:b w:val="0"/>
                <w:sz w:val="18"/>
              </w:rPr>
              <w:t>Can block, limit, reroute, or require review.</w:t>
            </w:r>
          </w:p>
        </w:tc>
      </w:tr>
      <w:tr>
        <w:tc>
          <w:tcPr>
            <w:tcW w:type="dxa" w:w="3360"/>
          </w:tcPr>
          <w:p>
            <w:r/>
            <w:r>
              <w:rPr>
                <w:b w:val="0"/>
                <w:sz w:val="18"/>
              </w:rPr>
              <w:t>Support domain</w:t>
            </w:r>
          </w:p>
        </w:tc>
        <w:tc>
          <w:tcPr>
            <w:tcW w:type="dxa" w:w="3360"/>
          </w:tcPr>
          <w:p>
            <w:r/>
            <w:r>
              <w:rPr>
                <w:b w:val="0"/>
                <w:sz w:val="18"/>
              </w:rPr>
              <w:t>A domain necessary to preserve another governing domain.</w:t>
            </w:r>
          </w:p>
        </w:tc>
        <w:tc>
          <w:tcPr>
            <w:tcW w:type="dxa" w:w="3360"/>
          </w:tcPr>
          <w:p>
            <w:r/>
            <w:r>
              <w:rPr>
                <w:b w:val="0"/>
                <w:sz w:val="18"/>
              </w:rPr>
              <w:t>May become governing by dependency closure.</w:t>
            </w:r>
          </w:p>
        </w:tc>
      </w:tr>
    </w:tbl>
    <w:p>
      <w:pPr>
        <w:pStyle w:val="Heading1"/>
      </w:pPr>
      <w:r>
        <w:t>10. Step 6 - Define Domain Constraints</w:t>
      </w:r>
    </w:p>
    <w:p>
      <w:r>
        <w:t>A sidecar-ready constraint should be specific enough to alter an admission decision. Generic values such as “privacy matters” or “efficiency matters” are not enough. The constraint must state what action is allowed, limited, denied, or review-bound.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Constraint Element</w:t>
            </w:r>
          </w:p>
        </w:tc>
        <w:tc>
          <w:tcPr>
            <w:tcW w:type="dxa" w:w="5040"/>
            <w:shd w:fill="D9EAF7"/>
          </w:tcPr>
          <w:p>
            <w:r/>
            <w:r>
              <w:rPr>
                <w:b/>
                <w:sz w:val="18"/>
              </w:rPr>
              <w:t>Question</w:t>
            </w:r>
          </w:p>
        </w:tc>
      </w:tr>
      <w:tr>
        <w:tc>
          <w:tcPr>
            <w:tcW w:type="dxa" w:w="5040"/>
          </w:tcPr>
          <w:p>
            <w:r/>
            <w:r>
              <w:rPr>
                <w:b w:val="0"/>
                <w:sz w:val="18"/>
              </w:rPr>
              <w:t>Domain</w:t>
            </w:r>
          </w:p>
        </w:tc>
        <w:tc>
          <w:tcPr>
            <w:tcW w:type="dxa" w:w="5040"/>
          </w:tcPr>
          <w:p>
            <w:r/>
            <w:r>
              <w:rPr>
                <w:b w:val="0"/>
                <w:sz w:val="18"/>
              </w:rPr>
              <w:t>Which Productive Power domain is being protected?</w:t>
            </w:r>
          </w:p>
        </w:tc>
      </w:tr>
      <w:tr>
        <w:tc>
          <w:tcPr>
            <w:tcW w:type="dxa" w:w="5040"/>
          </w:tcPr>
          <w:p>
            <w:r/>
            <w:r>
              <w:rPr>
                <w:b w:val="0"/>
                <w:sz w:val="18"/>
              </w:rPr>
              <w:t>Trigger</w:t>
            </w:r>
          </w:p>
        </w:tc>
        <w:tc>
          <w:tcPr>
            <w:tcW w:type="dxa" w:w="5040"/>
          </w:tcPr>
          <w:p>
            <w:r/>
            <w:r>
              <w:rPr>
                <w:b w:val="0"/>
                <w:sz w:val="18"/>
              </w:rPr>
              <w:t>What fact or action class activates the constraint?</w:t>
            </w:r>
          </w:p>
        </w:tc>
      </w:tr>
      <w:tr>
        <w:tc>
          <w:tcPr>
            <w:tcW w:type="dxa" w:w="5040"/>
          </w:tcPr>
          <w:p>
            <w:r/>
            <w:r>
              <w:rPr>
                <w:b w:val="0"/>
                <w:sz w:val="18"/>
              </w:rPr>
              <w:t>Rule</w:t>
            </w:r>
          </w:p>
        </w:tc>
        <w:tc>
          <w:tcPr>
            <w:tcW w:type="dxa" w:w="5040"/>
          </w:tcPr>
          <w:p>
            <w:r/>
            <w:r>
              <w:rPr>
                <w:b w:val="0"/>
                <w:sz w:val="18"/>
              </w:rPr>
              <w:t>What must the sidecar decide when the trigger appears?</w:t>
            </w:r>
          </w:p>
        </w:tc>
      </w:tr>
      <w:tr>
        <w:tc>
          <w:tcPr>
            <w:tcW w:type="dxa" w:w="5040"/>
          </w:tcPr>
          <w:p>
            <w:r/>
            <w:r>
              <w:rPr>
                <w:b w:val="0"/>
                <w:sz w:val="18"/>
              </w:rPr>
              <w:t>Limit</w:t>
            </w:r>
          </w:p>
        </w:tc>
        <w:tc>
          <w:tcPr>
            <w:tcW w:type="dxa" w:w="5040"/>
          </w:tcPr>
          <w:p>
            <w:r/>
            <w:r>
              <w:rPr>
                <w:b w:val="0"/>
                <w:sz w:val="18"/>
              </w:rPr>
              <w:t>If allowed, what boundary applies?</w:t>
            </w:r>
          </w:p>
        </w:tc>
      </w:tr>
      <w:tr>
        <w:tc>
          <w:tcPr>
            <w:tcW w:type="dxa" w:w="5040"/>
          </w:tcPr>
          <w:p>
            <w:r/>
            <w:r>
              <w:rPr>
                <w:b w:val="0"/>
                <w:sz w:val="18"/>
              </w:rPr>
              <w:t>Evidence requirement</w:t>
            </w:r>
          </w:p>
        </w:tc>
        <w:tc>
          <w:tcPr>
            <w:tcW w:type="dxa" w:w="5040"/>
          </w:tcPr>
          <w:p>
            <w:r/>
            <w:r>
              <w:rPr>
                <w:b w:val="0"/>
                <w:sz w:val="18"/>
              </w:rPr>
              <w:t>What must be present before admission?</w:t>
            </w:r>
          </w:p>
        </w:tc>
      </w:tr>
      <w:tr>
        <w:tc>
          <w:tcPr>
            <w:tcW w:type="dxa" w:w="5040"/>
          </w:tcPr>
          <w:p>
            <w:r/>
            <w:r>
              <w:rPr>
                <w:b w:val="0"/>
                <w:sz w:val="18"/>
              </w:rPr>
              <w:t>Human review condition</w:t>
            </w:r>
          </w:p>
        </w:tc>
        <w:tc>
          <w:tcPr>
            <w:tcW w:type="dxa" w:w="5040"/>
          </w:tcPr>
          <w:p>
            <w:r/>
            <w:r>
              <w:rPr>
                <w:b w:val="0"/>
                <w:sz w:val="18"/>
              </w:rPr>
              <w:t>When must a human/domain owner approve?</w:t>
            </w:r>
          </w:p>
        </w:tc>
      </w:tr>
      <w:tr>
        <w:tc>
          <w:tcPr>
            <w:tcW w:type="dxa" w:w="5040"/>
          </w:tcPr>
          <w:p>
            <w:r/>
            <w:r>
              <w:rPr>
                <w:b w:val="0"/>
                <w:sz w:val="18"/>
              </w:rPr>
              <w:t>Trace requirement</w:t>
            </w:r>
          </w:p>
        </w:tc>
        <w:tc>
          <w:tcPr>
            <w:tcW w:type="dxa" w:w="5040"/>
          </w:tcPr>
          <w:p>
            <w:r/>
            <w:r>
              <w:rPr>
                <w:b w:val="0"/>
                <w:sz w:val="18"/>
              </w:rPr>
              <w:t>What must be recorded?</w:t>
            </w:r>
          </w:p>
        </w:tc>
      </w:tr>
    </w:tbl>
    <w:p>
      <w:pPr>
        <w:pStyle w:val="Heading1"/>
      </w:pPr>
      <w:r>
        <w:t>11. Example A - Printer Static Governance Setup</w:t>
      </w:r>
    </w:p>
    <w:p>
      <w:r>
        <w:t>The printer example is useful because it shows that static governance can change real decisions without live tool status. The sidecar cannot know whether the printer is currently jammed, but it can know whether the printer is a valid choice for a given document, actor, location, sensitivity, and workflow.</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Domain</w:t>
            </w:r>
          </w:p>
        </w:tc>
        <w:tc>
          <w:tcPr>
            <w:tcW w:type="dxa" w:w="5040"/>
            <w:shd w:fill="D9EAF7"/>
          </w:tcPr>
          <w:p>
            <w:r/>
            <w:r>
              <w:rPr>
                <w:b/>
                <w:sz w:val="18"/>
              </w:rPr>
              <w:t>Static Constraint Examples</w:t>
            </w:r>
          </w:p>
        </w:tc>
      </w:tr>
      <w:tr>
        <w:tc>
          <w:tcPr>
            <w:tcW w:type="dxa" w:w="5040"/>
          </w:tcPr>
          <w:p>
            <w:r/>
            <w:r>
              <w:rPr>
                <w:b w:val="0"/>
                <w:sz w:val="18"/>
              </w:rPr>
              <w:t>Confidentiality / privacy</w:t>
            </w:r>
          </w:p>
        </w:tc>
        <w:tc>
          <w:tcPr>
            <w:tcW w:type="dxa" w:w="5040"/>
          </w:tcPr>
          <w:p>
            <w:r/>
            <w:r>
              <w:rPr>
                <w:b w:val="0"/>
                <w:sz w:val="18"/>
              </w:rPr>
              <w:t>Confidential or regulated documents may only print to secure-release printers in approved rooms. Public hallway or shared unsecured printers are inadmissible.</w:t>
            </w:r>
          </w:p>
        </w:tc>
      </w:tr>
      <w:tr>
        <w:tc>
          <w:tcPr>
            <w:tcW w:type="dxa" w:w="5040"/>
          </w:tcPr>
          <w:p>
            <w:r/>
            <w:r>
              <w:rPr>
                <w:b w:val="0"/>
                <w:sz w:val="18"/>
              </w:rPr>
              <w:t>Physical proximity / operational continuity</w:t>
            </w:r>
          </w:p>
        </w:tc>
        <w:tc>
          <w:tcPr>
            <w:tcW w:type="dxa" w:w="5040"/>
          </w:tcPr>
          <w:p>
            <w:r/>
            <w:r>
              <w:rPr>
                <w:b w:val="0"/>
                <w:sz w:val="18"/>
              </w:rPr>
              <w:t>Printers outside the actor’s approved building, secure zone, or workflow area are inadmissible for urgent or chain-of-custody-sensitive jobs.</w:t>
            </w:r>
          </w:p>
        </w:tc>
      </w:tr>
      <w:tr>
        <w:tc>
          <w:tcPr>
            <w:tcW w:type="dxa" w:w="5040"/>
          </w:tcPr>
          <w:p>
            <w:r/>
            <w:r>
              <w:rPr>
                <w:b w:val="0"/>
                <w:sz w:val="18"/>
              </w:rPr>
              <w:t>Access control</w:t>
            </w:r>
          </w:p>
        </w:tc>
        <w:tc>
          <w:tcPr>
            <w:tcW w:type="dxa" w:w="5040"/>
          </w:tcPr>
          <w:p>
            <w:r/>
            <w:r>
              <w:rPr>
                <w:b w:val="0"/>
                <w:sz w:val="18"/>
              </w:rPr>
              <w:t>Only actors with print authority for the document class may print. Visitors, assistants, or agents may be limited to draft preparation.</w:t>
            </w:r>
          </w:p>
        </w:tc>
      </w:tr>
      <w:tr>
        <w:tc>
          <w:tcPr>
            <w:tcW w:type="dxa" w:w="5040"/>
          </w:tcPr>
          <w:p>
            <w:r/>
            <w:r>
              <w:rPr>
                <w:b w:val="0"/>
                <w:sz w:val="18"/>
              </w:rPr>
              <w:t>Chain of custody</w:t>
            </w:r>
          </w:p>
        </w:tc>
        <w:tc>
          <w:tcPr>
            <w:tcW w:type="dxa" w:w="5040"/>
          </w:tcPr>
          <w:p>
            <w:r/>
            <w:r>
              <w:rPr>
                <w:b w:val="0"/>
                <w:sz w:val="18"/>
              </w:rPr>
              <w:t>Documents requiring custody control may print only where pickup, recipient, and storage rules are known.</w:t>
            </w:r>
          </w:p>
        </w:tc>
      </w:tr>
      <w:tr>
        <w:tc>
          <w:tcPr>
            <w:tcW w:type="dxa" w:w="5040"/>
          </w:tcPr>
          <w:p>
            <w:r/>
            <w:r>
              <w:rPr>
                <w:b w:val="0"/>
                <w:sz w:val="18"/>
              </w:rPr>
              <w:t>Record integrity</w:t>
            </w:r>
          </w:p>
        </w:tc>
        <w:tc>
          <w:tcPr>
            <w:tcW w:type="dxa" w:w="5040"/>
          </w:tcPr>
          <w:p>
            <w:r/>
            <w:r>
              <w:rPr>
                <w:b w:val="0"/>
                <w:sz w:val="18"/>
              </w:rPr>
              <w:t>Final signed, certified, or official packets may require human review before printing.</w:t>
            </w:r>
          </w:p>
        </w:tc>
      </w:tr>
      <w:tr>
        <w:tc>
          <w:tcPr>
            <w:tcW w:type="dxa" w:w="5040"/>
          </w:tcPr>
          <w:p>
            <w:r/>
            <w:r>
              <w:rPr>
                <w:b w:val="0"/>
                <w:sz w:val="18"/>
              </w:rPr>
              <w:t>Cost / resource discipline</w:t>
            </w:r>
          </w:p>
        </w:tc>
        <w:tc>
          <w:tcPr>
            <w:tcW w:type="dxa" w:w="5040"/>
          </w:tcPr>
          <w:p>
            <w:r/>
            <w:r>
              <w:rPr>
                <w:b w:val="0"/>
                <w:sz w:val="18"/>
              </w:rPr>
              <w:t>Large print jobs may require review, duplex/default settings, or conversion to electronic review if static policy requires cost controls.</w:t>
            </w:r>
          </w:p>
        </w:tc>
      </w:tr>
      <w:tr>
        <w:tc>
          <w:tcPr>
            <w:tcW w:type="dxa" w:w="5040"/>
          </w:tcPr>
          <w:p>
            <w:r/>
            <w:r>
              <w:rPr>
                <w:b w:val="0"/>
                <w:sz w:val="18"/>
              </w:rPr>
              <w:t>Purpose fit</w:t>
            </w:r>
          </w:p>
        </w:tc>
        <w:tc>
          <w:tcPr>
            <w:tcW w:type="dxa" w:w="5040"/>
          </w:tcPr>
          <w:p>
            <w:r/>
            <w:r>
              <w:rPr>
                <w:b w:val="0"/>
                <w:sz w:val="18"/>
              </w:rPr>
              <w:t>A printer may be valid for internal drafts but invalid for official packets, confidential packets, or external mailing packages.</w:t>
            </w:r>
          </w:p>
        </w:tc>
      </w:tr>
    </w:tbl>
    <w:p>
      <w:pPr>
        <w:pStyle w:val="Heading1"/>
      </w:pPr>
      <w:r>
        <w:t>12. Example B - Travel Agent Static Governance Setup</w:t>
      </w:r>
    </w:p>
    <w:p>
      <w:r>
        <w:t>The travel-agent example is useful because many travel actions look operationally simple but carry financial, policy, legal, scheduling, and commitment effects.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Domain</w:t>
            </w:r>
          </w:p>
        </w:tc>
        <w:tc>
          <w:tcPr>
            <w:tcW w:type="dxa" w:w="5040"/>
            <w:shd w:fill="D9EAF7"/>
          </w:tcPr>
          <w:p>
            <w:r/>
            <w:r>
              <w:rPr>
                <w:b/>
                <w:sz w:val="18"/>
              </w:rPr>
              <w:t>Static Constraint Examples</w:t>
            </w:r>
          </w:p>
        </w:tc>
      </w:tr>
      <w:tr>
        <w:tc>
          <w:tcPr>
            <w:tcW w:type="dxa" w:w="5040"/>
          </w:tcPr>
          <w:p>
            <w:r/>
            <w:r>
              <w:rPr>
                <w:b w:val="0"/>
                <w:sz w:val="18"/>
              </w:rPr>
              <w:t>Financial integrity</w:t>
            </w:r>
          </w:p>
        </w:tc>
        <w:tc>
          <w:tcPr>
            <w:tcW w:type="dxa" w:w="5040"/>
          </w:tcPr>
          <w:p>
            <w:r/>
            <w:r>
              <w:rPr>
                <w:b w:val="0"/>
                <w:sz w:val="18"/>
              </w:rPr>
              <w:t>Agent may compare fares and draft itineraries, but purchase, non-refundable booking, or upgrade selection requires review unless pre-authorized.</w:t>
            </w:r>
          </w:p>
        </w:tc>
      </w:tr>
      <w:tr>
        <w:tc>
          <w:tcPr>
            <w:tcW w:type="dxa" w:w="5040"/>
          </w:tcPr>
          <w:p>
            <w:r/>
            <w:r>
              <w:rPr>
                <w:b w:val="0"/>
                <w:sz w:val="18"/>
              </w:rPr>
              <w:t>Policy compliance</w:t>
            </w:r>
          </w:p>
        </w:tc>
        <w:tc>
          <w:tcPr>
            <w:tcW w:type="dxa" w:w="5040"/>
          </w:tcPr>
          <w:p>
            <w:r/>
            <w:r>
              <w:rPr>
                <w:b w:val="0"/>
                <w:sz w:val="18"/>
              </w:rPr>
              <w:t>Travel must comply with class-of-service, lodging-rate, per diem, conference-purpose, funding-source, and approval-chain rules.</w:t>
            </w:r>
          </w:p>
        </w:tc>
      </w:tr>
      <w:tr>
        <w:tc>
          <w:tcPr>
            <w:tcW w:type="dxa" w:w="5040"/>
          </w:tcPr>
          <w:p>
            <w:r/>
            <w:r>
              <w:rPr>
                <w:b w:val="0"/>
                <w:sz w:val="18"/>
              </w:rPr>
              <w:t>Calendar / mission continuity</w:t>
            </w:r>
          </w:p>
        </w:tc>
        <w:tc>
          <w:tcPr>
            <w:tcW w:type="dxa" w:w="5040"/>
          </w:tcPr>
          <w:p>
            <w:r/>
            <w:r>
              <w:rPr>
                <w:b w:val="0"/>
                <w:sz w:val="18"/>
              </w:rPr>
              <w:t>Trips may not conflict with mandatory meetings, teaching, clinical, audit, or operational obligations unless an override exists.</w:t>
            </w:r>
          </w:p>
        </w:tc>
      </w:tr>
      <w:tr>
        <w:tc>
          <w:tcPr>
            <w:tcW w:type="dxa" w:w="5040"/>
          </w:tcPr>
          <w:p>
            <w:r/>
            <w:r>
              <w:rPr>
                <w:b w:val="0"/>
                <w:sz w:val="18"/>
              </w:rPr>
              <w:t>Traveler safety / accessibility</w:t>
            </w:r>
          </w:p>
        </w:tc>
        <w:tc>
          <w:tcPr>
            <w:tcW w:type="dxa" w:w="5040"/>
          </w:tcPr>
          <w:p>
            <w:r/>
            <w:r>
              <w:rPr>
                <w:b w:val="0"/>
                <w:sz w:val="18"/>
              </w:rPr>
              <w:t>Travel options must respect documented accessibility constraints, unsafe layovers, excessive overnight connections, or destination restrictions.</w:t>
            </w:r>
          </w:p>
        </w:tc>
      </w:tr>
      <w:tr>
        <w:tc>
          <w:tcPr>
            <w:tcW w:type="dxa" w:w="5040"/>
          </w:tcPr>
          <w:p>
            <w:r/>
            <w:r>
              <w:rPr>
                <w:b w:val="0"/>
                <w:sz w:val="18"/>
              </w:rPr>
              <w:t>Authority / delegation</w:t>
            </w:r>
          </w:p>
        </w:tc>
        <w:tc>
          <w:tcPr>
            <w:tcW w:type="dxa" w:w="5040"/>
          </w:tcPr>
          <w:p>
            <w:r/>
            <w:r>
              <w:rPr>
                <w:b w:val="0"/>
                <w:sz w:val="18"/>
              </w:rPr>
              <w:t>Administrative assistant or agent may prepare options but may not bind traveler or institution without proper authority.</w:t>
            </w:r>
          </w:p>
        </w:tc>
      </w:tr>
      <w:tr>
        <w:tc>
          <w:tcPr>
            <w:tcW w:type="dxa" w:w="5040"/>
          </w:tcPr>
          <w:p>
            <w:r/>
            <w:r>
              <w:rPr>
                <w:b w:val="0"/>
                <w:sz w:val="18"/>
              </w:rPr>
              <w:t>Reversibility</w:t>
            </w:r>
          </w:p>
        </w:tc>
        <w:tc>
          <w:tcPr>
            <w:tcW w:type="dxa" w:w="5040"/>
          </w:tcPr>
          <w:p>
            <w:r/>
            <w:r>
              <w:rPr>
                <w:b w:val="0"/>
                <w:sz w:val="18"/>
              </w:rPr>
              <w:t>Refundable options may be admitted differently than non-refundable commitments.</w:t>
            </w:r>
          </w:p>
        </w:tc>
      </w:tr>
      <w:tr>
        <w:tc>
          <w:tcPr>
            <w:tcW w:type="dxa" w:w="5040"/>
          </w:tcPr>
          <w:p>
            <w:r/>
            <w:r>
              <w:rPr>
                <w:b w:val="0"/>
                <w:sz w:val="18"/>
              </w:rPr>
              <w:t>Data privacy</w:t>
            </w:r>
          </w:p>
        </w:tc>
        <w:tc>
          <w:tcPr>
            <w:tcW w:type="dxa" w:w="5040"/>
          </w:tcPr>
          <w:p>
            <w:r/>
            <w:r>
              <w:rPr>
                <w:b w:val="0"/>
                <w:sz w:val="18"/>
              </w:rPr>
              <w:t>Passport, personal travel data, payment information, loyalty accounts, and emergency contacts require sensitivity constraints.</w:t>
            </w:r>
          </w:p>
        </w:tc>
      </w:tr>
      <w:tr>
        <w:tc>
          <w:tcPr>
            <w:tcW w:type="dxa" w:w="5040"/>
          </w:tcPr>
          <w:p>
            <w:r/>
            <w:r>
              <w:rPr>
                <w:b w:val="0"/>
                <w:sz w:val="18"/>
              </w:rPr>
              <w:t>External commitment</w:t>
            </w:r>
          </w:p>
        </w:tc>
        <w:tc>
          <w:tcPr>
            <w:tcW w:type="dxa" w:w="5040"/>
          </w:tcPr>
          <w:p>
            <w:r/>
            <w:r>
              <w:rPr>
                <w:b w:val="0"/>
                <w:sz w:val="18"/>
              </w:rPr>
              <w:t>Any booking that commits funds, creates a reservation, or sends confirmation externally is review-bound unless explicitly pre-authorized.</w:t>
            </w:r>
          </w:p>
        </w:tc>
      </w:tr>
    </w:tbl>
    <w:p>
      <w:pPr>
        <w:pStyle w:val="Heading1"/>
      </w:pPr>
      <w:r>
        <w:t>13. Example C - Reimbursement Agent Static Governance Setup</w:t>
      </w:r>
    </w:p>
    <w:p>
      <w:r>
        <w:t>The reimbursement-agent example is useful because the same workflow contains low-risk extraction actions and high-risk financial-control actions. Static governance should allow the former while blocking or reviewing the latter.</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Domain</w:t>
            </w:r>
          </w:p>
        </w:tc>
        <w:tc>
          <w:tcPr>
            <w:tcW w:type="dxa" w:w="5040"/>
            <w:shd w:fill="D9EAF7"/>
          </w:tcPr>
          <w:p>
            <w:r/>
            <w:r>
              <w:rPr>
                <w:b/>
                <w:sz w:val="18"/>
              </w:rPr>
              <w:t>Static Constraint Examples</w:t>
            </w:r>
          </w:p>
        </w:tc>
      </w:tr>
      <w:tr>
        <w:tc>
          <w:tcPr>
            <w:tcW w:type="dxa" w:w="5040"/>
          </w:tcPr>
          <w:p>
            <w:r/>
            <w:r>
              <w:rPr>
                <w:b w:val="0"/>
                <w:sz w:val="18"/>
              </w:rPr>
              <w:t>Financial integrity</w:t>
            </w:r>
          </w:p>
        </w:tc>
        <w:tc>
          <w:tcPr>
            <w:tcW w:type="dxa" w:w="5040"/>
          </w:tcPr>
          <w:p>
            <w:r/>
            <w:r>
              <w:rPr>
                <w:b w:val="0"/>
                <w:sz w:val="18"/>
              </w:rPr>
              <w:t>Agent may extract vendor, date, and amount; it may not approve reimbursement amount or certify eligibility without human review.</w:t>
            </w:r>
          </w:p>
        </w:tc>
      </w:tr>
      <w:tr>
        <w:tc>
          <w:tcPr>
            <w:tcW w:type="dxa" w:w="5040"/>
          </w:tcPr>
          <w:p>
            <w:r/>
            <w:r>
              <w:rPr>
                <w:b w:val="0"/>
                <w:sz w:val="18"/>
              </w:rPr>
              <w:t>Policy compliance</w:t>
            </w:r>
          </w:p>
        </w:tc>
        <w:tc>
          <w:tcPr>
            <w:tcW w:type="dxa" w:w="5040"/>
          </w:tcPr>
          <w:p>
            <w:r/>
            <w:r>
              <w:rPr>
                <w:b w:val="0"/>
                <w:sz w:val="18"/>
              </w:rPr>
              <w:t>Business purpose must cite who/what/when/where/why evidence. Missing agenda, unclear purpose, or policy ambiguity triggers review.</w:t>
            </w:r>
          </w:p>
        </w:tc>
      </w:tr>
      <w:tr>
        <w:tc>
          <w:tcPr>
            <w:tcW w:type="dxa" w:w="5040"/>
          </w:tcPr>
          <w:p>
            <w:r/>
            <w:r>
              <w:rPr>
                <w:b w:val="0"/>
                <w:sz w:val="18"/>
              </w:rPr>
              <w:t>Tax / legal integrity</w:t>
            </w:r>
          </w:p>
        </w:tc>
        <w:tc>
          <w:tcPr>
            <w:tcW w:type="dxa" w:w="5040"/>
          </w:tcPr>
          <w:p>
            <w:r/>
            <w:r>
              <w:rPr>
                <w:b w:val="0"/>
                <w:sz w:val="18"/>
              </w:rPr>
              <w:t>Expense classification with tax consequences requires human review when ambiguous or high-stakes.</w:t>
            </w:r>
          </w:p>
        </w:tc>
      </w:tr>
      <w:tr>
        <w:tc>
          <w:tcPr>
            <w:tcW w:type="dxa" w:w="5040"/>
          </w:tcPr>
          <w:p>
            <w:r/>
            <w:r>
              <w:rPr>
                <w:b w:val="0"/>
                <w:sz w:val="18"/>
              </w:rPr>
              <w:t>Data integrity</w:t>
            </w:r>
          </w:p>
        </w:tc>
        <w:tc>
          <w:tcPr>
            <w:tcW w:type="dxa" w:w="5040"/>
          </w:tcPr>
          <w:p>
            <w:r/>
            <w:r>
              <w:rPr>
                <w:b w:val="0"/>
                <w:sz w:val="18"/>
              </w:rPr>
              <w:t>Agent must distinguish evidence-supported facts from inferred or missing facts.</w:t>
            </w:r>
          </w:p>
        </w:tc>
      </w:tr>
      <w:tr>
        <w:tc>
          <w:tcPr>
            <w:tcW w:type="dxa" w:w="5040"/>
          </w:tcPr>
          <w:p>
            <w:r/>
            <w:r>
              <w:rPr>
                <w:b w:val="0"/>
                <w:sz w:val="18"/>
              </w:rPr>
              <w:t>Privacy</w:t>
            </w:r>
          </w:p>
        </w:tc>
        <w:tc>
          <w:tcPr>
            <w:tcW w:type="dxa" w:w="5040"/>
          </w:tcPr>
          <w:p>
            <w:r/>
            <w:r>
              <w:rPr>
                <w:b w:val="0"/>
                <w:sz w:val="18"/>
              </w:rPr>
              <w:t>Receipts, travel bookings, and personal data must be handled under data-sensitivity limits.</w:t>
            </w:r>
          </w:p>
        </w:tc>
      </w:tr>
      <w:tr>
        <w:tc>
          <w:tcPr>
            <w:tcW w:type="dxa" w:w="5040"/>
          </w:tcPr>
          <w:p>
            <w:r/>
            <w:r>
              <w:rPr>
                <w:b w:val="0"/>
                <w:sz w:val="18"/>
              </w:rPr>
              <w:t>Accountability</w:t>
            </w:r>
          </w:p>
        </w:tc>
        <w:tc>
          <w:tcPr>
            <w:tcW w:type="dxa" w:w="5040"/>
          </w:tcPr>
          <w:p>
            <w:r/>
            <w:r>
              <w:rPr>
                <w:b w:val="0"/>
                <w:sz w:val="18"/>
              </w:rPr>
              <w:t>Agent outputs must preserve trace: source document, extraction basis, assumptions, and human-review flags.</w:t>
            </w:r>
          </w:p>
        </w:tc>
      </w:tr>
      <w:tr>
        <w:tc>
          <w:tcPr>
            <w:tcW w:type="dxa" w:w="5040"/>
          </w:tcPr>
          <w:p>
            <w:r/>
            <w:r>
              <w:rPr>
                <w:b w:val="0"/>
                <w:sz w:val="18"/>
              </w:rPr>
              <w:t>Finalization authority</w:t>
            </w:r>
          </w:p>
        </w:tc>
        <w:tc>
          <w:tcPr>
            <w:tcW w:type="dxa" w:w="5040"/>
          </w:tcPr>
          <w:p>
            <w:r/>
            <w:r>
              <w:rPr>
                <w:b w:val="0"/>
                <w:sz w:val="18"/>
              </w:rPr>
              <w:t>Submit, approve, certify, mark ready, or release for payment are not phase-one static sidecar actions unless institutionally approved.</w:t>
            </w:r>
          </w:p>
        </w:tc>
      </w:tr>
    </w:tbl>
    <w:p>
      <w:pPr>
        <w:pStyle w:val="Heading1"/>
      </w:pPr>
      <w:r>
        <w:t>14. Domain Frame Builder GPT Role</w:t>
      </w:r>
    </w:p>
    <w:p>
      <w:r>
        <w:t>A Custom GPT can serve as a pre-runtime setup assistant. It should not be the runtime. Its job is to help the user or institution produce a sidecar-ready governance frame.</w:t>
      </w:r>
    </w:p>
    <w:p>
      <w:pPr>
        <w:pStyle w:val="Heading2"/>
      </w:pPr>
      <w:r>
        <w:t>14.1 What the GPT Should Ask</w:t>
      </w:r>
    </w:p>
    <w:p>
      <w:pPr>
        <w:pStyle w:val="ListBullet"/>
      </w:pPr>
      <w:r>
        <w:t>What workflow or agent is being governed?</w:t>
      </w:r>
    </w:p>
    <w:p>
      <w:pPr>
        <w:pStyle w:val="ListBullet"/>
      </w:pPr>
      <w:r>
        <w:t>What tools are involved?</w:t>
      </w:r>
    </w:p>
    <w:p>
      <w:pPr>
        <w:pStyle w:val="ListBullet"/>
      </w:pPr>
      <w:r>
        <w:t>What actions can each tool perform?</w:t>
      </w:r>
    </w:p>
    <w:p>
      <w:pPr>
        <w:pStyle w:val="ListBullet"/>
      </w:pPr>
      <w:r>
        <w:t>Which actions are read-only, draft-only, write, send, submit, approve, delete, purchase, or finalize?</w:t>
      </w:r>
    </w:p>
    <w:p>
      <w:pPr>
        <w:pStyle w:val="ListBullet"/>
      </w:pPr>
      <w:r>
        <w:t>What policies, institutional rules, or approval chains apply?</w:t>
      </w:r>
    </w:p>
    <w:p>
      <w:pPr>
        <w:pStyle w:val="ListBullet"/>
      </w:pPr>
      <w:r>
        <w:t>What Productive Power domains does the user already recognize?</w:t>
      </w:r>
    </w:p>
    <w:p>
      <w:pPr>
        <w:pStyle w:val="ListBullet"/>
      </w:pPr>
      <w:r>
        <w:t>What affected parties can be harmed or burdened?</w:t>
      </w:r>
    </w:p>
    <w:p>
      <w:pPr>
        <w:pStyle w:val="ListBullet"/>
      </w:pPr>
      <w:r>
        <w:t>What actions should never be automated?</w:t>
      </w:r>
    </w:p>
    <w:p>
      <w:pPr>
        <w:pStyle w:val="ListBullet"/>
      </w:pPr>
      <w:r>
        <w:t>What actions require human/domain-owner review?</w:t>
      </w:r>
    </w:p>
    <w:p>
      <w:pPr>
        <w:pStyle w:val="ListBullet"/>
      </w:pPr>
      <w:r>
        <w:t>What evidence must be present for the sidecar to admit an action?</w:t>
      </w:r>
    </w:p>
    <w:p>
      <w:pPr>
        <w:pStyle w:val="Heading2"/>
      </w:pPr>
      <w:r>
        <w:t>14.2 What the GPT Should Produce</w:t>
      </w:r>
    </w:p>
    <w:p>
      <w:pPr>
        <w:pStyle w:val="ListBullet"/>
      </w:pPr>
      <w:r>
        <w:t>Tool inventory table.</w:t>
      </w:r>
    </w:p>
    <w:p>
      <w:pPr>
        <w:pStyle w:val="ListBullet"/>
      </w:pPr>
      <w:r>
        <w:t>Action authority classification.</w:t>
      </w:r>
    </w:p>
    <w:p>
      <w:pPr>
        <w:pStyle w:val="ListBullet"/>
      </w:pPr>
      <w:r>
        <w:t>Candidate domain list.</w:t>
      </w:r>
    </w:p>
    <w:p>
      <w:pPr>
        <w:pStyle w:val="ListBullet"/>
      </w:pPr>
      <w:r>
        <w:t>Proposed relevant domains.</w:t>
      </w:r>
    </w:p>
    <w:p>
      <w:pPr>
        <w:pStyle w:val="ListBullet"/>
      </w:pPr>
      <w:r>
        <w:t>Proposed governing domains.</w:t>
      </w:r>
    </w:p>
    <w:p>
      <w:pPr>
        <w:pStyle w:val="ListBullet"/>
      </w:pPr>
      <w:r>
        <w:t>Static constraints by domain.</w:t>
      </w:r>
    </w:p>
    <w:p>
      <w:pPr>
        <w:pStyle w:val="ListBullet"/>
      </w:pPr>
      <w:r>
        <w:t>Human confirmation checklist.</w:t>
      </w:r>
    </w:p>
    <w:p>
      <w:pPr>
        <w:pStyle w:val="ListBullet"/>
      </w:pPr>
      <w:r>
        <w:t>Draft sidecar governance frame.</w:t>
      </w:r>
    </w:p>
    <w:p>
      <w:pPr>
        <w:pStyle w:val="ListBullet"/>
      </w:pPr>
      <w:r>
        <w:t>Example admission decisions for test cases.</w:t>
      </w:r>
    </w:p>
    <w:p>
      <w:pPr>
        <w:pStyle w:val="Heading2"/>
      </w:pPr>
      <w:r>
        <w:t>14.3 What the GPT Must Not Do</w:t>
      </w:r>
    </w:p>
    <w:p>
      <w:pPr>
        <w:pStyle w:val="ListBullet"/>
      </w:pPr>
      <w:r>
        <w:t>It must not be treated as final authority for high-stakes governing domains.</w:t>
      </w:r>
    </w:p>
    <w:p>
      <w:pPr>
        <w:pStyle w:val="ListBullet"/>
      </w:pPr>
      <w:r>
        <w:t>It must not claim runtime enforcement.</w:t>
      </w:r>
    </w:p>
    <w:p>
      <w:pPr>
        <w:pStyle w:val="ListBullet"/>
      </w:pPr>
      <w:r>
        <w:t>It must not silently convert suggestions into approved sidecar rules.</w:t>
      </w:r>
    </w:p>
    <w:p>
      <w:pPr>
        <w:pStyle w:val="ListBullet"/>
      </w:pPr>
      <w:r>
        <w:t>It must not replace domain-owner confirmation.</w:t>
      </w:r>
    </w:p>
    <w:p>
      <w:pPr>
        <w:pStyle w:val="ListBullet"/>
      </w:pPr>
      <w:r>
        <w:t>It must not merge assessment, framing, admission, execution, and recovery into one vague gate.</w:t>
      </w:r>
    </w:p>
    <w:p>
      <w:pPr>
        <w:pStyle w:val="Heading1"/>
      </w:pPr>
      <w:r>
        <w:t>15. Approval Phase</w:t>
      </w:r>
    </w:p>
    <w:p>
      <w:r>
        <w:t>The approval phase converts proposed governance material into an authorized sidecar configuration. This is where human or institutional ownership matters.</w:t>
      </w:r>
    </w:p>
    <w:p>
      <w:pPr>
        <w:pStyle w:val="ListBullet"/>
      </w:pPr>
      <w:r>
        <w:t>Confirm the operating frame.</w:t>
      </w:r>
    </w:p>
    <w:p>
      <w:pPr>
        <w:pStyle w:val="ListBullet"/>
      </w:pPr>
      <w:r>
        <w:t>Confirm tool inventory accuracy.</w:t>
      </w:r>
    </w:p>
    <w:p>
      <w:pPr>
        <w:pStyle w:val="ListBullet"/>
      </w:pPr>
      <w:r>
        <w:t>Confirm action authority classification.</w:t>
      </w:r>
    </w:p>
    <w:p>
      <w:pPr>
        <w:pStyle w:val="ListBullet"/>
      </w:pPr>
      <w:r>
        <w:t>Approve governing domains.</w:t>
      </w:r>
    </w:p>
    <w:p>
      <w:pPr>
        <w:pStyle w:val="ListBullet"/>
      </w:pPr>
      <w:r>
        <w:t>Approve static constraints.</w:t>
      </w:r>
    </w:p>
    <w:p>
      <w:pPr>
        <w:pStyle w:val="ListBullet"/>
      </w:pPr>
      <w:r>
        <w:t>Approve human-review triggers.</w:t>
      </w:r>
    </w:p>
    <w:p>
      <w:pPr>
        <w:pStyle w:val="ListBullet"/>
      </w:pPr>
      <w:r>
        <w:t>Approve prohibited actions.</w:t>
      </w:r>
    </w:p>
    <w:p>
      <w:pPr>
        <w:pStyle w:val="ListBullet"/>
      </w:pPr>
      <w:r>
        <w:t>Approve trace requirements.</w:t>
      </w:r>
    </w:p>
    <w:p>
      <w:pPr>
        <w:pStyle w:val="ListBullet"/>
      </w:pPr>
      <w:r>
        <w:t>Record responsible domain owners.</w:t>
      </w:r>
    </w:p>
    <w:p>
      <w:pPr>
        <w:pStyle w:val="Heading1"/>
      </w:pPr>
      <w:r>
        <w:t>16. Sidecar-Ready Governance Frame</w:t>
      </w:r>
    </w:p>
    <w:p>
      <w:r>
        <w:t>After approval, the setup guide produces a governance frame the sidecar can consume. The frame should be explicit enough that the sidecar can return consistent admission decisions without inventing domain logic at runtime.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Frame Component</w:t>
            </w:r>
          </w:p>
        </w:tc>
        <w:tc>
          <w:tcPr>
            <w:tcW w:type="dxa" w:w="5040"/>
            <w:shd w:fill="D9EAF7"/>
          </w:tcPr>
          <w:p>
            <w:r/>
            <w:r>
              <w:rPr>
                <w:b/>
                <w:sz w:val="18"/>
              </w:rPr>
              <w:t>Purpose</w:t>
            </w:r>
          </w:p>
        </w:tc>
      </w:tr>
      <w:tr>
        <w:tc>
          <w:tcPr>
            <w:tcW w:type="dxa" w:w="5040"/>
          </w:tcPr>
          <w:p>
            <w:r/>
            <w:r>
              <w:rPr>
                <w:b w:val="0"/>
                <w:sz w:val="18"/>
              </w:rPr>
              <w:t>Operating frame</w:t>
            </w:r>
          </w:p>
        </w:tc>
        <w:tc>
          <w:tcPr>
            <w:tcW w:type="dxa" w:w="5040"/>
          </w:tcPr>
          <w:p>
            <w:r/>
            <w:r>
              <w:rPr>
                <w:b w:val="0"/>
                <w:sz w:val="18"/>
              </w:rPr>
              <w:t>Defines workflow purpose, users, affected parties, and scope.</w:t>
            </w:r>
          </w:p>
        </w:tc>
      </w:tr>
      <w:tr>
        <w:tc>
          <w:tcPr>
            <w:tcW w:type="dxa" w:w="5040"/>
          </w:tcPr>
          <w:p>
            <w:r/>
            <w:r>
              <w:rPr>
                <w:b w:val="0"/>
                <w:sz w:val="18"/>
              </w:rPr>
              <w:t>Tool inventory</w:t>
            </w:r>
          </w:p>
        </w:tc>
        <w:tc>
          <w:tcPr>
            <w:tcW w:type="dxa" w:w="5040"/>
          </w:tcPr>
          <w:p>
            <w:r/>
            <w:r>
              <w:rPr>
                <w:b w:val="0"/>
                <w:sz w:val="18"/>
              </w:rPr>
              <w:t>Lists tools and static capabilities.</w:t>
            </w:r>
          </w:p>
        </w:tc>
      </w:tr>
      <w:tr>
        <w:tc>
          <w:tcPr>
            <w:tcW w:type="dxa" w:w="5040"/>
          </w:tcPr>
          <w:p>
            <w:r/>
            <w:r>
              <w:rPr>
                <w:b w:val="0"/>
                <w:sz w:val="18"/>
              </w:rPr>
              <w:t>Action taxonomy</w:t>
            </w:r>
          </w:p>
        </w:tc>
        <w:tc>
          <w:tcPr>
            <w:tcW w:type="dxa" w:w="5040"/>
          </w:tcPr>
          <w:p>
            <w:r/>
            <w:r>
              <w:rPr>
                <w:b w:val="0"/>
                <w:sz w:val="18"/>
              </w:rPr>
              <w:t>Classifies proposed actions by authority and finalization risk.</w:t>
            </w:r>
          </w:p>
        </w:tc>
      </w:tr>
      <w:tr>
        <w:tc>
          <w:tcPr>
            <w:tcW w:type="dxa" w:w="5040"/>
          </w:tcPr>
          <w:p>
            <w:r/>
            <w:r>
              <w:rPr>
                <w:b w:val="0"/>
                <w:sz w:val="18"/>
              </w:rPr>
              <w:t>Governing domains</w:t>
            </w:r>
          </w:p>
        </w:tc>
        <w:tc>
          <w:tcPr>
            <w:tcW w:type="dxa" w:w="5040"/>
          </w:tcPr>
          <w:p>
            <w:r/>
            <w:r>
              <w:rPr>
                <w:b w:val="0"/>
                <w:sz w:val="18"/>
              </w:rPr>
              <w:t>States which domains bind action.</w:t>
            </w:r>
          </w:p>
        </w:tc>
      </w:tr>
      <w:tr>
        <w:tc>
          <w:tcPr>
            <w:tcW w:type="dxa" w:w="5040"/>
          </w:tcPr>
          <w:p>
            <w:r/>
            <w:r>
              <w:rPr>
                <w:b w:val="0"/>
                <w:sz w:val="18"/>
              </w:rPr>
              <w:t>Domain constraints</w:t>
            </w:r>
          </w:p>
        </w:tc>
        <w:tc>
          <w:tcPr>
            <w:tcW w:type="dxa" w:w="5040"/>
          </w:tcPr>
          <w:p>
            <w:r/>
            <w:r>
              <w:rPr>
                <w:b w:val="0"/>
                <w:sz w:val="18"/>
              </w:rPr>
              <w:t>Defines allow, limit, deny, review, or evidence rules.</w:t>
            </w:r>
          </w:p>
        </w:tc>
      </w:tr>
      <w:tr>
        <w:tc>
          <w:tcPr>
            <w:tcW w:type="dxa" w:w="5040"/>
          </w:tcPr>
          <w:p>
            <w:r/>
            <w:r>
              <w:rPr>
                <w:b w:val="0"/>
                <w:sz w:val="18"/>
              </w:rPr>
              <w:t>Human-review triggers</w:t>
            </w:r>
          </w:p>
        </w:tc>
        <w:tc>
          <w:tcPr>
            <w:tcW w:type="dxa" w:w="5040"/>
          </w:tcPr>
          <w:p>
            <w:r/>
            <w:r>
              <w:rPr>
                <w:b w:val="0"/>
                <w:sz w:val="18"/>
              </w:rPr>
              <w:t>States when the sidecar cannot admit autonomously.</w:t>
            </w:r>
          </w:p>
        </w:tc>
      </w:tr>
      <w:tr>
        <w:tc>
          <w:tcPr>
            <w:tcW w:type="dxa" w:w="5040"/>
          </w:tcPr>
          <w:p>
            <w:r/>
            <w:r>
              <w:rPr>
                <w:b w:val="0"/>
                <w:sz w:val="18"/>
              </w:rPr>
              <w:t>Evidence requirements</w:t>
            </w:r>
          </w:p>
        </w:tc>
        <w:tc>
          <w:tcPr>
            <w:tcW w:type="dxa" w:w="5040"/>
          </w:tcPr>
          <w:p>
            <w:r/>
            <w:r>
              <w:rPr>
                <w:b w:val="0"/>
                <w:sz w:val="18"/>
              </w:rPr>
              <w:t>Defines what must be present for admission.</w:t>
            </w:r>
          </w:p>
        </w:tc>
      </w:tr>
      <w:tr>
        <w:tc>
          <w:tcPr>
            <w:tcW w:type="dxa" w:w="5040"/>
          </w:tcPr>
          <w:p>
            <w:r/>
            <w:r>
              <w:rPr>
                <w:b w:val="0"/>
                <w:sz w:val="18"/>
              </w:rPr>
              <w:t>Trace requirements</w:t>
            </w:r>
          </w:p>
        </w:tc>
        <w:tc>
          <w:tcPr>
            <w:tcW w:type="dxa" w:w="5040"/>
          </w:tcPr>
          <w:p>
            <w:r/>
            <w:r>
              <w:rPr>
                <w:b w:val="0"/>
                <w:sz w:val="18"/>
              </w:rPr>
              <w:t>Defines minimum audit record.</w:t>
            </w:r>
          </w:p>
        </w:tc>
      </w:tr>
      <w:tr>
        <w:tc>
          <w:tcPr>
            <w:tcW w:type="dxa" w:w="5040"/>
          </w:tcPr>
          <w:p>
            <w:r/>
            <w:r>
              <w:rPr>
                <w:b w:val="0"/>
                <w:sz w:val="18"/>
              </w:rPr>
              <w:t>Version and approval record</w:t>
            </w:r>
          </w:p>
        </w:tc>
        <w:tc>
          <w:tcPr>
            <w:tcW w:type="dxa" w:w="5040"/>
          </w:tcPr>
          <w:p>
            <w:r/>
            <w:r>
              <w:rPr>
                <w:b w:val="0"/>
                <w:sz w:val="18"/>
              </w:rPr>
              <w:t>Identifies who approved the frame and when it must be reviewed.</w:t>
            </w:r>
          </w:p>
        </w:tc>
      </w:tr>
    </w:tbl>
    <w:p>
      <w:pPr>
        <w:pStyle w:val="Heading1"/>
      </w:pPr>
      <w:r>
        <w:t>17. Procedural Flow</w:t>
      </w:r>
    </w:p>
    <w:p>
      <w:r>
        <w:t>The setup-to-sidecar flow should be:</w:t>
      </w:r>
    </w:p>
    <w:p>
      <w:pPr>
        <w:pStyle w:val="ListNumber"/>
      </w:pPr>
      <w:r>
        <w:t>User or institution describes the agent/workflow purpose.</w:t>
      </w:r>
    </w:p>
    <w:p>
      <w:pPr>
        <w:pStyle w:val="ListNumber"/>
      </w:pPr>
      <w:r>
        <w:t>Domain Frame Builder collects tool inventory and action classes.</w:t>
      </w:r>
    </w:p>
    <w:p>
      <w:pPr>
        <w:pStyle w:val="ListNumber"/>
      </w:pPr>
      <w:r>
        <w:t>Builder asks for user-identified Productive Power domains.</w:t>
      </w:r>
    </w:p>
    <w:p>
      <w:pPr>
        <w:pStyle w:val="ListNumber"/>
      </w:pPr>
      <w:r>
        <w:t>Builder proposes additional domains and constraints.</w:t>
      </w:r>
    </w:p>
    <w:p>
      <w:pPr>
        <w:pStyle w:val="ListNumber"/>
      </w:pPr>
      <w:r>
        <w:t>Builder separates candidate, relevant, and governing domains.</w:t>
      </w:r>
    </w:p>
    <w:p>
      <w:pPr>
        <w:pStyle w:val="ListNumber"/>
      </w:pPr>
      <w:r>
        <w:t>Builder drafts static domain constraints and human-review triggers.</w:t>
      </w:r>
    </w:p>
    <w:p>
      <w:pPr>
        <w:pStyle w:val="ListNumber"/>
      </w:pPr>
      <w:r>
        <w:t>Domain owners approve or revise the frame.</w:t>
      </w:r>
    </w:p>
    <w:p>
      <w:pPr>
        <w:pStyle w:val="ListNumber"/>
      </w:pPr>
      <w:r>
        <w:t>Approved frame becomes the sidecar configuration basis.</w:t>
      </w:r>
    </w:p>
    <w:p>
      <w:pPr>
        <w:pStyle w:val="ListNumber"/>
      </w:pPr>
      <w:r>
        <w:t>Sidecar evaluates proposed tool actions against the approved frame.</w:t>
      </w:r>
    </w:p>
    <w:p>
      <w:pPr>
        <w:pStyle w:val="ListNumber"/>
      </w:pPr>
      <w:r>
        <w:t>Runtime examples and traces feed later frame revisions, but the sidecar does not autonomously redefine the frame.</w:t>
      </w:r>
    </w:p>
    <w:p>
      <w:pPr>
        <w:pStyle w:val="Heading1"/>
      </w:pPr>
      <w:r>
        <w:t>18. Impact on Existing Workstream 4 Documents</w:t>
      </w:r>
    </w:p>
    <w:p>
      <w:r>
        <w:t>This guide implies two changes to the existing Workstream 4 artifact sequence.</w:t>
      </w:r>
    </w:p>
    <w:p>
      <w:pPr>
        <w:pStyle w:val="ListBullet"/>
      </w:pPr>
      <w:r>
        <w:t>The sidecar document should be revised to make clear that phase-one sidecar governance is static admission governance only.</w:t>
      </w:r>
    </w:p>
    <w:p>
      <w:pPr>
        <w:pStyle w:val="ListBullet"/>
      </w:pPr>
      <w:r>
        <w:t>The schema document should not be written until the setup guide has stabilized the approved governance-frame object and the action-admission request object.</w:t>
      </w:r>
    </w:p>
    <w:p>
      <w:r>
        <w:t>The corrected sequence is:</w:t>
      </w:r>
    </w:p>
    <w:p>
      <w:pPr>
        <w:pStyle w:val="ListNumber"/>
      </w:pPr>
      <w:r>
        <w:t>PV-PP Agent Runtime Interface Ladder v0.1.</w:t>
      </w:r>
    </w:p>
    <w:p>
      <w:pPr>
        <w:pStyle w:val="ListNumber"/>
      </w:pPr>
      <w:r>
        <w:t>PV-PP Runtime Setup and Domain Frame Builder Guide v0.1.</w:t>
      </w:r>
    </w:p>
    <w:p>
      <w:pPr>
        <w:pStyle w:val="ListNumber"/>
      </w:pPr>
      <w:r>
        <w:t>PV-PP Tool Action Admission Sidecar v0.2.</w:t>
      </w:r>
    </w:p>
    <w:p>
      <w:pPr>
        <w:pStyle w:val="ListNumber"/>
      </w:pPr>
      <w:r>
        <w:t>PV-PP Static Governance Frame Object v0.1.</w:t>
      </w:r>
    </w:p>
    <w:p>
      <w:pPr>
        <w:pStyle w:val="ListNumber"/>
      </w:pPr>
      <w:r>
        <w:t>PV-PP Tool Action Admission Request Schema v0.1.</w:t>
      </w:r>
    </w:p>
    <w:p>
      <w:pPr>
        <w:pStyle w:val="ListNumber"/>
      </w:pPr>
      <w:r>
        <w:t>PV-PP Admission Decision Packet Schema v0.1.</w:t>
      </w:r>
    </w:p>
    <w:p>
      <w:pPr>
        <w:pStyle w:val="ListNumber"/>
      </w:pPr>
      <w:r>
        <w:t>PV-PP Reimbursement Agent Static Sidecar Prototype Specification v0.1.</w:t>
      </w:r>
    </w:p>
    <w:p>
      <w:pPr>
        <w:pStyle w:val="Heading1"/>
      </w:pPr>
      <w:r>
        <w:t>19. Bottom Line</w:t>
      </w:r>
    </w:p>
    <w:p>
      <w:r>
        <w:t>The sidecar cannot be built first in any serious sense. It requires an approved governance frame. The practical setup path is: inventory the tools, classify the actions, identify candidate domains, distinguish governing domains, define static constraints, secure human or institutional approval, and only then configure the sidecar.</w:t>
      </w:r>
    </w:p>
    <w:p>
      <w:r>
        <w:t>The Custom GPT belongs in this setup phase. It can ask the right questions, propose domains and constraints, expose omissions, and produce draft configuration material. But approval and runtime enforcement remain separate steps.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PV-PP Runtime Setup and Domain Frame Builder Guide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