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PV-PP Tool Action Admission Sidecar v0.2</w:t>
      </w:r>
    </w:p>
    <w:p>
      <w:pPr>
        <w:jc w:val="center"/>
      </w:pPr>
      <w:r>
        <w:rPr>
          <w:i/>
          <w:sz w:val="22"/>
        </w:rPr>
        <w:t>Static Governance Sidecar for Phase-One Tool Admission</w:t>
      </w:r>
    </w:p>
    <w:p/>
    <w:tbl>
      <w:tblPr>
        <w:tblStyle w:val="TableGrid"/>
        <w:tblW w:type="auto" w:w="0"/>
        <w:jc w:val="center"/>
        <w:tblLook w:firstColumn="1" w:firstRow="1" w:lastColumn="0" w:lastRow="0" w:noHBand="0" w:noVBand="1" w:val="04A0"/>
      </w:tblPr>
      <w:tblGrid>
        <w:gridCol w:w="5040"/>
        <w:gridCol w:w="5040"/>
      </w:tblGrid>
      <w:tr>
        <w:tc>
          <w:tcPr>
            <w:tcW w:type="dxa" w:w="2448"/>
          </w:tcPr>
          <w:p>
            <w:r/>
            <w:r>
              <w:rPr>
                <w:b/>
                <w:sz w:val="18"/>
              </w:rPr>
              <w:t>Version</w:t>
            </w:r>
          </w:p>
        </w:tc>
        <w:tc>
          <w:tcPr>
            <w:tcW w:type="dxa" w:w="6912"/>
          </w:tcPr>
          <w:p>
            <w:r/>
            <w:r>
              <w:rPr>
                <w:b w:val="0"/>
                <w:sz w:val="18"/>
              </w:rPr>
              <w:t>v0.2</w:t>
            </w:r>
          </w:p>
        </w:tc>
      </w:tr>
      <w:tr>
        <w:tc>
          <w:tcPr>
            <w:tcW w:type="dxa" w:w="2448"/>
          </w:tcPr>
          <w:p>
            <w:r/>
            <w:r>
              <w:rPr>
                <w:b/>
                <w:sz w:val="18"/>
              </w:rPr>
              <w:t>Status</w:t>
            </w:r>
          </w:p>
        </w:tc>
        <w:tc>
          <w:tcPr>
            <w:tcW w:type="dxa" w:w="6912"/>
          </w:tcPr>
          <w:p>
            <w:r/>
            <w:r>
              <w:rPr>
                <w:b w:val="0"/>
                <w:sz w:val="18"/>
              </w:rPr>
              <w:t>Stabilized phase-one architecture draft</w:t>
            </w:r>
          </w:p>
        </w:tc>
      </w:tr>
      <w:tr>
        <w:tc>
          <w:tcPr>
            <w:tcW w:type="dxa" w:w="2448"/>
          </w:tcPr>
          <w:p>
            <w:r/>
            <w:r>
              <w:rPr>
                <w:b/>
                <w:sz w:val="18"/>
              </w:rPr>
              <w:t>Supersedes</w:t>
            </w:r>
          </w:p>
        </w:tc>
        <w:tc>
          <w:tcPr>
            <w:tcW w:type="dxa" w:w="6912"/>
          </w:tcPr>
          <w:p>
            <w:r/>
            <w:r>
              <w:rPr>
                <w:b w:val="0"/>
                <w:sz w:val="18"/>
              </w:rPr>
              <w:t>PV-PP Tool Action Admission Sidecar v0.1</w:t>
            </w:r>
          </w:p>
        </w:tc>
      </w:tr>
      <w:tr>
        <w:tc>
          <w:tcPr>
            <w:tcW w:type="dxa" w:w="2448"/>
          </w:tcPr>
          <w:p>
            <w:r/>
            <w:r>
              <w:rPr>
                <w:b/>
                <w:sz w:val="18"/>
              </w:rPr>
              <w:t>Folder</w:t>
            </w:r>
          </w:p>
        </w:tc>
        <w:tc>
          <w:tcPr>
            <w:tcW w:type="dxa" w:w="6912"/>
          </w:tcPr>
          <w:p>
            <w:r/>
            <w:r>
              <w:rPr>
                <w:b w:val="0"/>
                <w:sz w:val="18"/>
              </w:rPr>
              <w:t>40_Runtime_and_Execution_Formalization / 20_Tool_Action_Admission_Sidecar</w:t>
            </w:r>
          </w:p>
        </w:tc>
      </w:tr>
      <w:tr>
        <w:tc>
          <w:tcPr>
            <w:tcW w:type="dxa" w:w="2448"/>
          </w:tcPr>
          <w:p>
            <w:r/>
            <w:r>
              <w:rPr>
                <w:b/>
                <w:sz w:val="18"/>
              </w:rPr>
              <w:t>Purpose</w:t>
            </w:r>
          </w:p>
        </w:tc>
        <w:tc>
          <w:tcPr>
            <w:tcW w:type="dxa" w:w="6912"/>
          </w:tcPr>
          <w:p>
            <w:r/>
            <w:r>
              <w:rPr>
                <w:b w:val="0"/>
                <w:sz w:val="18"/>
              </w:rPr>
              <w:t>Define the phase-one sidecar as static tool-action governance, downstream of approved domain framing and upstream of tool execution.</w:t>
            </w:r>
          </w:p>
        </w:tc>
      </w:tr>
    </w:tbl>
    <w:p/>
    <w:p>
      <w:pPr>
        <w:pStyle w:val="Heading1"/>
      </w:pPr>
      <w:r>
        <w:t>1. Version 0.2 Change Summary</w:t>
      </w:r>
    </w:p>
    <w:p>
      <w:pPr>
        <w:pStyle w:val="ListBullet"/>
      </w:pPr>
      <w:r>
        <w:t>Defines the sidecar as static governance only for phase one.</w:t>
      </w:r>
    </w:p>
    <w:p>
      <w:pPr>
        <w:pStyle w:val="ListBullet"/>
      </w:pPr>
      <w:r>
        <w:t>Removes synchronous tool-status checks from the sidecar mainline.</w:t>
      </w:r>
    </w:p>
    <w:p>
      <w:pPr>
        <w:pStyle w:val="ListBullet"/>
      </w:pPr>
      <w:r>
        <w:t>Removes daemon-based dynamic state monitoring from the recommended phase-one architecture.</w:t>
      </w:r>
    </w:p>
    <w:p>
      <w:pPr>
        <w:pStyle w:val="ListBullet"/>
      </w:pPr>
      <w:r>
        <w:t>Clarifies that real tool-status feedback belongs to phase-two inline runtime/proxy architecture.</w:t>
      </w:r>
    </w:p>
    <w:p>
      <w:pPr>
        <w:pStyle w:val="ListBullet"/>
      </w:pPr>
      <w:r>
        <w:t>Adds the required upstream setup dependency: tool inventory, domain identification, constraint definition, and approval.</w:t>
      </w:r>
    </w:p>
    <w:p>
      <w:pPr>
        <w:pStyle w:val="ListBullet"/>
      </w:pPr>
      <w:r>
        <w:t>Clarifies that the sidecar consumes an approved governance frame; it does not discover or approve governing domains at runtime.</w:t>
      </w:r>
    </w:p>
    <w:p>
      <w:pPr>
        <w:pStyle w:val="ListBullet"/>
      </w:pPr>
      <w:r>
        <w:t>Re-centers the sidecar around constraints on Productive Power domains.</w:t>
      </w:r>
    </w:p>
    <w:p>
      <w:pPr>
        <w:pStyle w:val="Heading1"/>
      </w:pPr>
      <w:r>
        <w:t>2. Sidecar Definition</w:t>
      </w:r>
    </w:p>
    <w:p>
      <w:r>
        <w:t>The PV-PP Tool Action Admission Sidecar is a lightweight phase-one governance module that receives a proposed tool action before execution and returns a static admission decision under an approved PV-PP governance frame.</w:t>
      </w:r>
    </w:p>
    <w:p>
      <w:r>
        <w:t>It answers: may this actor use this tool class for this proposed action, with this authority, on this data or object, for this purpose, under the current static domain constraints?</w:t>
      </w:r>
    </w:p>
    <w:p>
      <w:r>
        <w:t>It does not answer: is the tool presently online, stocked, error-free, under quota, or able to complete the action right now? Those are dynamic execution facts and belong to inline runtime.</w:t>
      </w:r>
    </w:p>
    <w:p>
      <w:pPr>
        <w:pStyle w:val="Heading1"/>
      </w:pPr>
      <w:r>
        <w:t>3. What Must Exist Before the Sidecar Can Be Built</w:t>
      </w:r>
    </w:p>
    <w:p>
      <w:r>
        <w:t>A sidecar cannot be configured until a governance frame exists. The required upstream sequence is:</w:t>
      </w:r>
    </w:p>
    <w:p>
      <w:pPr>
        <w:pStyle w:val="ListNumber"/>
      </w:pPr>
      <w:r>
        <w:t>Tool and workflow inventory.</w:t>
      </w:r>
    </w:p>
    <w:p>
      <w:pPr>
        <w:pStyle w:val="ListNumber"/>
      </w:pPr>
      <w:r>
        <w:t>Capability classification for each tool or workflow action.</w:t>
      </w:r>
    </w:p>
    <w:p>
      <w:pPr>
        <w:pStyle w:val="ListNumber"/>
      </w:pPr>
      <w:r>
        <w:t>Candidate Productive Power domain identification.</w:t>
      </w:r>
    </w:p>
    <w:p>
      <w:pPr>
        <w:pStyle w:val="ListNumber"/>
      </w:pPr>
      <w:r>
        <w:t>Relevant-domain and governing-domain separation.</w:t>
      </w:r>
    </w:p>
    <w:p>
      <w:pPr>
        <w:pStyle w:val="ListNumber"/>
      </w:pPr>
      <w:r>
        <w:t>Static domain-constraint definition.</w:t>
      </w:r>
    </w:p>
    <w:p>
      <w:pPr>
        <w:pStyle w:val="ListNumber"/>
      </w:pPr>
      <w:r>
        <w:t>Policy, owner, or institutional confirmation for high-stakes constraints.</w:t>
      </w:r>
    </w:p>
    <w:p>
      <w:pPr>
        <w:pStyle w:val="ListNumber"/>
      </w:pPr>
      <w:r>
        <w:t>Translation of approved constraints into sidecar-readable admission rules.</w:t>
      </w:r>
    </w:p>
    <w:p>
      <w:r>
        <w:t>A Custom GPT can assist with intake, inventory, candidate-domain expansion, and first-pass constraint generation. It should not be treated as the sole confirming authority for high-stakes governing domains.</w:t>
      </w:r>
    </w:p>
    <w:p>
      <w:pPr>
        <w:pStyle w:val="Heading1"/>
      </w:pPr>
      <w:r>
        <w:t>4. Phase-One Runtime Flow</w:t>
      </w:r>
    </w:p>
    <w:p>
      <w:r>
        <w:t>The phase-one runtime path is intentionally small:</w:t>
      </w:r>
    </w:p>
    <w:p>
      <w:r>
        <w:t>Agent -&gt; PV-PP Static Admission Sidecar -&gt; Admission Decision -&gt; Agent -&gt; Tool, if admitted</w:t>
      </w:r>
    </w:p>
    <w:p>
      <w:r>
        <w:t>The sidecar does not sit between the tool result and the agent in phase one. It does not verify completion. It does not inspect tool return status. It does not reroute based on live capacity. It modifies decisions by applying static governance constraints before tool use.</w:t>
      </w:r>
    </w:p>
    <w:p>
      <w:pPr>
        <w:pStyle w:val="Heading1"/>
      </w:pPr>
      <w:r>
        <w:t>5. Static Criteria the Sidecar Can Govern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
              <w:rPr>
                <w:b/>
                <w:sz w:val="18"/>
              </w:rPr>
              <w:t>Criterion</w:t>
            </w:r>
          </w:p>
        </w:tc>
        <w:tc>
          <w:tcPr>
            <w:tcW w:type="dxa" w:w="3360"/>
            <w:shd w:fill="D9EAF7"/>
          </w:tcPr>
          <w:p>
            <w:r/>
            <w:r>
              <w:rPr>
                <w:b/>
                <w:sz w:val="18"/>
              </w:rPr>
              <w:t>Question</w:t>
            </w:r>
          </w:p>
        </w:tc>
        <w:tc>
          <w:tcPr>
            <w:tcW w:type="dxa" w:w="3360"/>
            <w:shd w:fill="D9EAF7"/>
          </w:tcPr>
          <w:p>
            <w:r/>
            <w:r>
              <w:rPr>
                <w:b/>
                <w:sz w:val="18"/>
              </w:rPr>
              <w:t>Example</w:t>
            </w:r>
          </w:p>
        </w:tc>
      </w:tr>
      <w:tr>
        <w:tc>
          <w:tcPr>
            <w:tcW w:type="dxa" w:w="3360"/>
          </w:tcPr>
          <w:p>
            <w:r/>
            <w:r>
              <w:rPr>
                <w:b w:val="0"/>
                <w:sz w:val="18"/>
              </w:rPr>
              <w:t>Actor authority</w:t>
            </w:r>
          </w:p>
        </w:tc>
        <w:tc>
          <w:tcPr>
            <w:tcW w:type="dxa" w:w="3360"/>
          </w:tcPr>
          <w:p>
            <w:r/>
            <w:r>
              <w:rPr>
                <w:b w:val="0"/>
                <w:sz w:val="18"/>
              </w:rPr>
              <w:t>Is this actor allowed to request this class of action?</w:t>
            </w:r>
          </w:p>
        </w:tc>
        <w:tc>
          <w:tcPr>
            <w:tcW w:type="dxa" w:w="3360"/>
          </w:tcPr>
          <w:p>
            <w:r/>
            <w:r>
              <w:rPr>
                <w:b w:val="0"/>
                <w:sz w:val="18"/>
              </w:rPr>
              <w:t>Assistant may draft, but not approve reimbursement.</w:t>
            </w:r>
          </w:p>
        </w:tc>
      </w:tr>
      <w:tr>
        <w:tc>
          <w:tcPr>
            <w:tcW w:type="dxa" w:w="3360"/>
          </w:tcPr>
          <w:p>
            <w:r/>
            <w:r>
              <w:rPr>
                <w:b w:val="0"/>
                <w:sz w:val="18"/>
              </w:rPr>
              <w:t>Tool class</w:t>
            </w:r>
          </w:p>
        </w:tc>
        <w:tc>
          <w:tcPr>
            <w:tcW w:type="dxa" w:w="3360"/>
          </w:tcPr>
          <w:p>
            <w:r/>
            <w:r>
              <w:rPr>
                <w:b w:val="0"/>
                <w:sz w:val="18"/>
              </w:rPr>
              <w:t>Is this tool class allowed for this domain?</w:t>
            </w:r>
          </w:p>
        </w:tc>
        <w:tc>
          <w:tcPr>
            <w:tcW w:type="dxa" w:w="3360"/>
          </w:tcPr>
          <w:p>
            <w:r/>
            <w:r>
              <w:rPr>
                <w:b w:val="0"/>
                <w:sz w:val="18"/>
              </w:rPr>
              <w:t>Public printer is not allowed for confidential packets.</w:t>
            </w:r>
          </w:p>
        </w:tc>
      </w:tr>
      <w:tr>
        <w:tc>
          <w:tcPr>
            <w:tcW w:type="dxa" w:w="3360"/>
          </w:tcPr>
          <w:p>
            <w:r/>
            <w:r>
              <w:rPr>
                <w:b w:val="0"/>
                <w:sz w:val="18"/>
              </w:rPr>
              <w:t>Action type</w:t>
            </w:r>
          </w:p>
        </w:tc>
        <w:tc>
          <w:tcPr>
            <w:tcW w:type="dxa" w:w="3360"/>
          </w:tcPr>
          <w:p>
            <w:r/>
            <w:r>
              <w:rPr>
                <w:b w:val="0"/>
                <w:sz w:val="18"/>
              </w:rPr>
              <w:t>Is the proposed action read, draft, write, send, submit, delete, approve, or finalize?</w:t>
            </w:r>
          </w:p>
        </w:tc>
        <w:tc>
          <w:tcPr>
            <w:tcW w:type="dxa" w:w="3360"/>
          </w:tcPr>
          <w:p>
            <w:r/>
            <w:r>
              <w:rPr>
                <w:b w:val="0"/>
                <w:sz w:val="18"/>
              </w:rPr>
              <w:t>Send and submit require higher review than draft.</w:t>
            </w:r>
          </w:p>
        </w:tc>
      </w:tr>
      <w:tr>
        <w:tc>
          <w:tcPr>
            <w:tcW w:type="dxa" w:w="3360"/>
          </w:tcPr>
          <w:p>
            <w:r/>
            <w:r>
              <w:rPr>
                <w:b w:val="0"/>
                <w:sz w:val="18"/>
              </w:rPr>
              <w:t>Data sensitivity</w:t>
            </w:r>
          </w:p>
        </w:tc>
        <w:tc>
          <w:tcPr>
            <w:tcW w:type="dxa" w:w="3360"/>
          </w:tcPr>
          <w:p>
            <w:r/>
            <w:r>
              <w:rPr>
                <w:b w:val="0"/>
                <w:sz w:val="18"/>
              </w:rPr>
              <w:t>Does the action expose confidential, financial, legal, security, or personal data?</w:t>
            </w:r>
          </w:p>
        </w:tc>
        <w:tc>
          <w:tcPr>
            <w:tcW w:type="dxa" w:w="3360"/>
          </w:tcPr>
          <w:p>
            <w:r/>
            <w:r>
              <w:rPr>
                <w:b w:val="0"/>
                <w:sz w:val="18"/>
              </w:rPr>
              <w:t>Confidential packet cannot print to unsecured location.</w:t>
            </w:r>
          </w:p>
        </w:tc>
      </w:tr>
      <w:tr>
        <w:tc>
          <w:tcPr>
            <w:tcW w:type="dxa" w:w="3360"/>
          </w:tcPr>
          <w:p>
            <w:r/>
            <w:r>
              <w:rPr>
                <w:b w:val="0"/>
                <w:sz w:val="18"/>
              </w:rPr>
              <w:t>Location class</w:t>
            </w:r>
          </w:p>
        </w:tc>
        <w:tc>
          <w:tcPr>
            <w:tcW w:type="dxa" w:w="3360"/>
          </w:tcPr>
          <w:p>
            <w:r/>
            <w:r>
              <w:rPr>
                <w:b w:val="0"/>
                <w:sz w:val="18"/>
              </w:rPr>
              <w:t>Is the tool physically or logically located in an approved environment?</w:t>
            </w:r>
          </w:p>
        </w:tc>
        <w:tc>
          <w:tcPr>
            <w:tcW w:type="dxa" w:w="3360"/>
          </w:tcPr>
          <w:p>
            <w:r/>
            <w:r>
              <w:rPr>
                <w:b w:val="0"/>
                <w:sz w:val="18"/>
              </w:rPr>
              <w:t>Printer in another building may fail operational proximity constraints.</w:t>
            </w:r>
          </w:p>
        </w:tc>
      </w:tr>
      <w:tr>
        <w:tc>
          <w:tcPr>
            <w:tcW w:type="dxa" w:w="3360"/>
          </w:tcPr>
          <w:p>
            <w:r/>
            <w:r>
              <w:rPr>
                <w:b w:val="0"/>
                <w:sz w:val="18"/>
              </w:rPr>
              <w:t>Reversibility</w:t>
            </w:r>
          </w:p>
        </w:tc>
        <w:tc>
          <w:tcPr>
            <w:tcW w:type="dxa" w:w="3360"/>
          </w:tcPr>
          <w:p>
            <w:r/>
            <w:r>
              <w:rPr>
                <w:b w:val="0"/>
                <w:sz w:val="18"/>
              </w:rPr>
              <w:t>Can the action be undone?</w:t>
            </w:r>
          </w:p>
        </w:tc>
        <w:tc>
          <w:tcPr>
            <w:tcW w:type="dxa" w:w="3360"/>
          </w:tcPr>
          <w:p>
            <w:r/>
            <w:r>
              <w:rPr>
                <w:b w:val="0"/>
                <w:sz w:val="18"/>
              </w:rPr>
              <w:t>Deleting a record is not equivalent to drafting a note.</w:t>
            </w:r>
          </w:p>
        </w:tc>
      </w:tr>
      <w:tr>
        <w:tc>
          <w:tcPr>
            <w:tcW w:type="dxa" w:w="3360"/>
          </w:tcPr>
          <w:p>
            <w:r/>
            <w:r>
              <w:rPr>
                <w:b w:val="0"/>
                <w:sz w:val="18"/>
              </w:rPr>
              <w:t>Finalization effect</w:t>
            </w:r>
          </w:p>
        </w:tc>
        <w:tc>
          <w:tcPr>
            <w:tcW w:type="dxa" w:w="3360"/>
          </w:tcPr>
          <w:p>
            <w:r/>
            <w:r>
              <w:rPr>
                <w:b w:val="0"/>
                <w:sz w:val="18"/>
              </w:rPr>
              <w:t>Does the action create de facto approval, closure, or readiness?</w:t>
            </w:r>
          </w:p>
        </w:tc>
        <w:tc>
          <w:tcPr>
            <w:tcW w:type="dxa" w:w="3360"/>
          </w:tcPr>
          <w:p>
            <w:r/>
            <w:r>
              <w:rPr>
                <w:b w:val="0"/>
                <w:sz w:val="18"/>
              </w:rPr>
              <w:t>Marking a reimbursement packet ready may require human review.</w:t>
            </w:r>
          </w:p>
        </w:tc>
      </w:tr>
      <w:tr>
        <w:tc>
          <w:tcPr>
            <w:tcW w:type="dxa" w:w="3360"/>
          </w:tcPr>
          <w:p>
            <w:r/>
            <w:r>
              <w:rPr>
                <w:b w:val="0"/>
                <w:sz w:val="18"/>
              </w:rPr>
              <w:t>Evidence sufficiency</w:t>
            </w:r>
          </w:p>
        </w:tc>
        <w:tc>
          <w:tcPr>
            <w:tcW w:type="dxa" w:w="3360"/>
          </w:tcPr>
          <w:p>
            <w:r/>
            <w:r>
              <w:rPr>
                <w:b w:val="0"/>
                <w:sz w:val="18"/>
              </w:rPr>
              <w:t>Is required evidence present before the action can proceed?</w:t>
            </w:r>
          </w:p>
        </w:tc>
        <w:tc>
          <w:tcPr>
            <w:tcW w:type="dxa" w:w="3360"/>
          </w:tcPr>
          <w:p>
            <w:r/>
            <w:r>
              <w:rPr>
                <w:b w:val="0"/>
                <w:sz w:val="18"/>
              </w:rPr>
              <w:t>Business purpose missing who/what/when/where/why.</w:t>
            </w:r>
          </w:p>
        </w:tc>
      </w:tr>
      <w:tr>
        <w:tc>
          <w:tcPr>
            <w:tcW w:type="dxa" w:w="3360"/>
          </w:tcPr>
          <w:p>
            <w:r/>
            <w:r>
              <w:rPr>
                <w:b w:val="0"/>
                <w:sz w:val="18"/>
              </w:rPr>
              <w:t>External exposure</w:t>
            </w:r>
          </w:p>
        </w:tc>
        <w:tc>
          <w:tcPr>
            <w:tcW w:type="dxa" w:w="3360"/>
          </w:tcPr>
          <w:p>
            <w:r/>
            <w:r>
              <w:rPr>
                <w:b w:val="0"/>
                <w:sz w:val="18"/>
              </w:rPr>
              <w:t>Does the action communicate outside the safe boundary?</w:t>
            </w:r>
          </w:p>
        </w:tc>
        <w:tc>
          <w:tcPr>
            <w:tcW w:type="dxa" w:w="3360"/>
          </w:tcPr>
          <w:p>
            <w:r/>
            <w:r>
              <w:rPr>
                <w:b w:val="0"/>
                <w:sz w:val="18"/>
              </w:rPr>
              <w:t>External email with conclusions requires review.</w:t>
            </w:r>
          </w:p>
        </w:tc>
      </w:tr>
      <w:tr>
        <w:tc>
          <w:tcPr>
            <w:tcW w:type="dxa" w:w="3360"/>
          </w:tcPr>
          <w:p>
            <w:r/>
            <w:r>
              <w:rPr>
                <w:b w:val="0"/>
                <w:sz w:val="18"/>
              </w:rPr>
              <w:t>Domain constraint</w:t>
            </w:r>
          </w:p>
        </w:tc>
        <w:tc>
          <w:tcPr>
            <w:tcW w:type="dxa" w:w="3360"/>
          </w:tcPr>
          <w:p>
            <w:r/>
            <w:r>
              <w:rPr>
                <w:b w:val="0"/>
                <w:sz w:val="18"/>
              </w:rPr>
              <w:t>Would using this tool violate a governing domain constraint?</w:t>
            </w:r>
          </w:p>
        </w:tc>
        <w:tc>
          <w:tcPr>
            <w:tcW w:type="dxa" w:w="3360"/>
          </w:tcPr>
          <w:p>
            <w:r/>
            <w:r>
              <w:rPr>
                <w:b w:val="0"/>
                <w:sz w:val="18"/>
              </w:rPr>
              <w:t>Confidentiality, accountability, financial integrity, or recoverability constraint fails.</w:t>
            </w:r>
          </w:p>
        </w:tc>
      </w:tr>
    </w:tbl>
    <w:p/>
    <w:p>
      <w:pPr>
        <w:pStyle w:val="Heading1"/>
      </w:pPr>
      <w:r>
        <w:t>6. Static Criteria the Sidecar Cannot Govern</w:t>
      </w:r>
    </w:p>
    <w:p>
      <w:pPr>
        <w:pStyle w:val="ListBullet"/>
      </w:pPr>
      <w:r>
        <w:t>Whether a printer currently has paper, ink, toner, or a jam.</w:t>
      </w:r>
    </w:p>
    <w:p>
      <w:pPr>
        <w:pStyle w:val="ListBullet"/>
      </w:pPr>
      <w:r>
        <w:t>Whether an API is currently up, rate-limited, or returning errors.</w:t>
      </w:r>
    </w:p>
    <w:p>
      <w:pPr>
        <w:pStyle w:val="ListBullet"/>
      </w:pPr>
      <w:r>
        <w:t>Whether a workflow engine actually completed a task.</w:t>
      </w:r>
    </w:p>
    <w:p>
      <w:pPr>
        <w:pStyle w:val="ListBullet"/>
      </w:pPr>
      <w:r>
        <w:t>Whether a downstream system accepted or rejected a submission.</w:t>
      </w:r>
    </w:p>
    <w:p>
      <w:pPr>
        <w:pStyle w:val="ListBullet"/>
      </w:pPr>
      <w:r>
        <w:t>Whether the returned result is adequate for reliance.</w:t>
      </w:r>
    </w:p>
    <w:p>
      <w:pPr>
        <w:pStyle w:val="ListBullet"/>
      </w:pPr>
      <w:r>
        <w:t>Whether the tool partially executed and left an unresolved state.</w:t>
      </w:r>
    </w:p>
    <w:p>
      <w:pPr>
        <w:pStyle w:val="ListBullet"/>
      </w:pPr>
      <w:r>
        <w:t>Whether recovery or rollback is now required after execution.</w:t>
      </w:r>
    </w:p>
    <w:p>
      <w:r>
        <w:t>Those belong to phase-two inline runtime or later completion/recovery layers.</w:t>
      </w:r>
    </w:p>
    <w:p>
      <w:pPr>
        <w:pStyle w:val="Heading1"/>
      </w:pPr>
      <w:r>
        <w:t>7. Admission Decisions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
              <w:rPr>
                <w:b/>
                <w:sz w:val="18"/>
              </w:rPr>
              <w:t>Decision</w:t>
            </w:r>
          </w:p>
        </w:tc>
        <w:tc>
          <w:tcPr>
            <w:tcW w:type="dxa" w:w="3360"/>
            <w:shd w:fill="D9EAF7"/>
          </w:tcPr>
          <w:p>
            <w:r/>
            <w:r>
              <w:rPr>
                <w:b/>
                <w:sz w:val="18"/>
              </w:rPr>
              <w:t>Meaning</w:t>
            </w:r>
          </w:p>
        </w:tc>
        <w:tc>
          <w:tcPr>
            <w:tcW w:type="dxa" w:w="3360"/>
            <w:shd w:fill="D9EAF7"/>
          </w:tcPr>
          <w:p>
            <w:r/>
            <w:r>
              <w:rPr>
                <w:b/>
                <w:sz w:val="18"/>
              </w:rPr>
              <w:t>Phase-One Use</w:t>
            </w:r>
          </w:p>
        </w:tc>
      </w:tr>
      <w:tr>
        <w:tc>
          <w:tcPr>
            <w:tcW w:type="dxa" w:w="3360"/>
          </w:tcPr>
          <w:p>
            <w:r/>
            <w:r>
              <w:rPr>
                <w:b w:val="0"/>
                <w:sz w:val="18"/>
              </w:rPr>
              <w:t>ALLOW</w:t>
            </w:r>
          </w:p>
        </w:tc>
        <w:tc>
          <w:tcPr>
            <w:tcW w:type="dxa" w:w="3360"/>
          </w:tcPr>
          <w:p>
            <w:r/>
            <w:r>
              <w:rPr>
                <w:b w:val="0"/>
                <w:sz w:val="18"/>
              </w:rPr>
              <w:t>The action is statically admissible.</w:t>
            </w:r>
          </w:p>
        </w:tc>
        <w:tc>
          <w:tcPr>
            <w:tcW w:type="dxa" w:w="3360"/>
          </w:tcPr>
          <w:p>
            <w:r/>
            <w:r>
              <w:rPr>
                <w:b w:val="0"/>
                <w:sz w:val="18"/>
              </w:rPr>
              <w:t>Use only when no relevant static constraint is violated.</w:t>
            </w:r>
          </w:p>
        </w:tc>
      </w:tr>
      <w:tr>
        <w:tc>
          <w:tcPr>
            <w:tcW w:type="dxa" w:w="3360"/>
          </w:tcPr>
          <w:p>
            <w:r/>
            <w:r>
              <w:rPr>
                <w:b w:val="0"/>
                <w:sz w:val="18"/>
              </w:rPr>
              <w:t>ALLOW_WITH_LIMITS</w:t>
            </w:r>
          </w:p>
        </w:tc>
        <w:tc>
          <w:tcPr>
            <w:tcW w:type="dxa" w:w="3360"/>
          </w:tcPr>
          <w:p>
            <w:r/>
            <w:r>
              <w:rPr>
                <w:b w:val="0"/>
                <w:sz w:val="18"/>
              </w:rPr>
              <w:t>The action may proceed only inside explicit static limits.</w:t>
            </w:r>
          </w:p>
        </w:tc>
        <w:tc>
          <w:tcPr>
            <w:tcW w:type="dxa" w:w="3360"/>
          </w:tcPr>
          <w:p>
            <w:r/>
            <w:r>
              <w:rPr>
                <w:b w:val="0"/>
                <w:sz w:val="18"/>
              </w:rPr>
              <w:t>Draft only, read only, no submit, no send, no approve, use approved tool class only.</w:t>
            </w:r>
          </w:p>
        </w:tc>
      </w:tr>
      <w:tr>
        <w:tc>
          <w:tcPr>
            <w:tcW w:type="dxa" w:w="3360"/>
          </w:tcPr>
          <w:p>
            <w:r/>
            <w:r>
              <w:rPr>
                <w:b w:val="0"/>
                <w:sz w:val="18"/>
              </w:rPr>
              <w:t>DENY</w:t>
            </w:r>
          </w:p>
        </w:tc>
        <w:tc>
          <w:tcPr>
            <w:tcW w:type="dxa" w:w="3360"/>
          </w:tcPr>
          <w:p>
            <w:r/>
            <w:r>
              <w:rPr>
                <w:b w:val="0"/>
                <w:sz w:val="18"/>
              </w:rPr>
              <w:t>The action is not statically admissible.</w:t>
            </w:r>
          </w:p>
        </w:tc>
        <w:tc>
          <w:tcPr>
            <w:tcW w:type="dxa" w:w="3360"/>
          </w:tcPr>
          <w:p>
            <w:r/>
            <w:r>
              <w:rPr>
                <w:b w:val="0"/>
                <w:sz w:val="18"/>
              </w:rPr>
              <w:t>Prohibited action, wrong tool class, wrong location class, excessive authority, or domain constraint failure.</w:t>
            </w:r>
          </w:p>
        </w:tc>
      </w:tr>
      <w:tr>
        <w:tc>
          <w:tcPr>
            <w:tcW w:type="dxa" w:w="3360"/>
          </w:tcPr>
          <w:p>
            <w:r/>
            <w:r>
              <w:rPr>
                <w:b w:val="0"/>
                <w:sz w:val="18"/>
              </w:rPr>
              <w:t>REQUEST_MORE_EVIDENCE</w:t>
            </w:r>
          </w:p>
        </w:tc>
        <w:tc>
          <w:tcPr>
            <w:tcW w:type="dxa" w:w="3360"/>
          </w:tcPr>
          <w:p>
            <w:r/>
            <w:r>
              <w:rPr>
                <w:b w:val="0"/>
                <w:sz w:val="18"/>
              </w:rPr>
              <w:t>The sidecar lacks required static evidence.</w:t>
            </w:r>
          </w:p>
        </w:tc>
        <w:tc>
          <w:tcPr>
            <w:tcW w:type="dxa" w:w="3360"/>
          </w:tcPr>
          <w:p>
            <w:r/>
            <w:r>
              <w:rPr>
                <w:b w:val="0"/>
                <w:sz w:val="18"/>
              </w:rPr>
              <w:t>Missing business purpose, missing policy basis, missing data classification, missing owner confirmation.</w:t>
            </w:r>
          </w:p>
        </w:tc>
      </w:tr>
      <w:tr>
        <w:tc>
          <w:tcPr>
            <w:tcW w:type="dxa" w:w="3360"/>
          </w:tcPr>
          <w:p>
            <w:r/>
            <w:r>
              <w:rPr>
                <w:b w:val="0"/>
                <w:sz w:val="18"/>
              </w:rPr>
              <w:t>REQUIRE_HUMAN_REVIEW</w:t>
            </w:r>
          </w:p>
        </w:tc>
        <w:tc>
          <w:tcPr>
            <w:tcW w:type="dxa" w:w="3360"/>
          </w:tcPr>
          <w:p>
            <w:r/>
            <w:r>
              <w:rPr>
                <w:b w:val="0"/>
                <w:sz w:val="18"/>
              </w:rPr>
              <w:t>The action may be possible but cannot be admitted autonomously.</w:t>
            </w:r>
          </w:p>
        </w:tc>
        <w:tc>
          <w:tcPr>
            <w:tcW w:type="dxa" w:w="3360"/>
          </w:tcPr>
          <w:p>
            <w:r/>
            <w:r>
              <w:rPr>
                <w:b w:val="0"/>
                <w:sz w:val="18"/>
              </w:rPr>
              <w:t>Financial, legal, privacy, safety, security, finalization, or ambiguous policy exposure.</w:t>
            </w:r>
          </w:p>
        </w:tc>
      </w:tr>
      <w:tr>
        <w:tc>
          <w:tcPr>
            <w:tcW w:type="dxa" w:w="3360"/>
          </w:tcPr>
          <w:p>
            <w:r/>
            <w:r>
              <w:rPr>
                <w:b w:val="0"/>
                <w:sz w:val="18"/>
              </w:rPr>
              <w:t>ESCALATE</w:t>
            </w:r>
          </w:p>
        </w:tc>
        <w:tc>
          <w:tcPr>
            <w:tcW w:type="dxa" w:w="3360"/>
          </w:tcPr>
          <w:p>
            <w:r/>
            <w:r>
              <w:rPr>
                <w:b w:val="0"/>
                <w:sz w:val="18"/>
              </w:rPr>
              <w:t>The proposed action requires a higher authority or domain owner.</w:t>
            </w:r>
          </w:p>
        </w:tc>
        <w:tc>
          <w:tcPr>
            <w:tcW w:type="dxa" w:w="3360"/>
          </w:tcPr>
          <w:p>
            <w:r/>
            <w:r>
              <w:rPr>
                <w:b w:val="0"/>
                <w:sz w:val="18"/>
              </w:rPr>
              <w:t>Security, compliance, finance, legal, safety, or workflow owner decision required.</w:t>
            </w:r>
          </w:p>
        </w:tc>
      </w:tr>
      <w:tr>
        <w:tc>
          <w:tcPr>
            <w:tcW w:type="dxa" w:w="3360"/>
          </w:tcPr>
          <w:p>
            <w:r/>
            <w:r>
              <w:rPr>
                <w:b w:val="0"/>
                <w:sz w:val="18"/>
              </w:rPr>
              <w:t>REFRAME</w:t>
            </w:r>
          </w:p>
        </w:tc>
        <w:tc>
          <w:tcPr>
            <w:tcW w:type="dxa" w:w="3360"/>
          </w:tcPr>
          <w:p>
            <w:r/>
            <w:r>
              <w:rPr>
                <w:b w:val="0"/>
                <w:sz w:val="18"/>
              </w:rPr>
              <w:t>The proposed action reveals a missing or inadequate domain frame.</w:t>
            </w:r>
          </w:p>
        </w:tc>
        <w:tc>
          <w:tcPr>
            <w:tcW w:type="dxa" w:w="3360"/>
          </w:tcPr>
          <w:p>
            <w:r/>
            <w:r>
              <w:rPr>
                <w:b w:val="0"/>
                <w:sz w:val="18"/>
              </w:rPr>
              <w:t>New affected party, new data class, or unmodeled tool authority appears.</w:t>
            </w:r>
          </w:p>
        </w:tc>
      </w:tr>
      <w:tr>
        <w:tc>
          <w:tcPr>
            <w:tcW w:type="dxa" w:w="3360"/>
          </w:tcPr>
          <w:p>
            <w:r/>
            <w:r>
              <w:rPr>
                <w:b w:val="0"/>
                <w:sz w:val="18"/>
              </w:rPr>
              <w:t>ABORT</w:t>
            </w:r>
          </w:p>
        </w:tc>
        <w:tc>
          <w:tcPr>
            <w:tcW w:type="dxa" w:w="3360"/>
          </w:tcPr>
          <w:p>
            <w:r/>
            <w:r>
              <w:rPr>
                <w:b w:val="0"/>
                <w:sz w:val="18"/>
              </w:rPr>
              <w:t>The action must not proceed in the present form.</w:t>
            </w:r>
          </w:p>
        </w:tc>
        <w:tc>
          <w:tcPr>
            <w:tcW w:type="dxa" w:w="3360"/>
          </w:tcPr>
          <w:p>
            <w:r/>
            <w:r>
              <w:rPr>
                <w:b w:val="0"/>
                <w:sz w:val="18"/>
              </w:rPr>
              <w:t>Clear violation, unsafe finalization, or improper authority request.</w:t>
            </w:r>
          </w:p>
        </w:tc>
      </w:tr>
    </w:tbl>
    <w:p/>
    <w:p>
      <w:pPr>
        <w:pStyle w:val="Heading1"/>
      </w:pPr>
      <w:r>
        <w:t>8. Productive Power Domain Constraint Model</w:t>
      </w:r>
    </w:p>
    <w:p>
      <w:r>
        <w:t>The sidecar operationalizes constraints on Productive Power domains. A tool may possess the productive power to perform an operation, but a given use of that power may be inadmissible because it violates a governing domain corridor.</w:t>
      </w:r>
    </w:p>
    <w:p>
      <w:r>
        <w:t>Example: a printer can print. But it may not be allowed to print a confidential financial packet if it is located in a public hallway, belongs to another department, lacks secure release, is too far from the responsible user, or creates poor chain-of-custody accountability. The tool capability exists, but the proposed use fails the domain constraints.</w:t>
      </w:r>
    </w:p>
    <w:p>
      <w:pPr>
        <w:pStyle w:val="Heading1"/>
      </w:pPr>
      <w:r>
        <w:t>9. Printer Static Governance Example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
              <w:rPr>
                <w:b/>
                <w:sz w:val="18"/>
              </w:rPr>
              <w:t>Domain</w:t>
            </w:r>
          </w:p>
        </w:tc>
        <w:tc>
          <w:tcPr>
            <w:tcW w:type="dxa" w:w="3360"/>
            <w:shd w:fill="D9EAF7"/>
          </w:tcPr>
          <w:p>
            <w:r/>
            <w:r>
              <w:rPr>
                <w:b/>
                <w:sz w:val="18"/>
              </w:rPr>
              <w:t>Static Constraint</w:t>
            </w:r>
          </w:p>
        </w:tc>
        <w:tc>
          <w:tcPr>
            <w:tcW w:type="dxa" w:w="3360"/>
            <w:shd w:fill="D9EAF7"/>
          </w:tcPr>
          <w:p>
            <w:r/>
            <w:r>
              <w:rPr>
                <w:b/>
                <w:sz w:val="18"/>
              </w:rPr>
              <w:t>Decision Impact</w:t>
            </w:r>
          </w:p>
        </w:tc>
      </w:tr>
      <w:tr>
        <w:tc>
          <w:tcPr>
            <w:tcW w:type="dxa" w:w="3360"/>
          </w:tcPr>
          <w:p>
            <w:r/>
            <w:r>
              <w:rPr>
                <w:b w:val="0"/>
                <w:sz w:val="18"/>
              </w:rPr>
              <w:t>Confidentiality / privacy</w:t>
            </w:r>
          </w:p>
        </w:tc>
        <w:tc>
          <w:tcPr>
            <w:tcW w:type="dxa" w:w="3360"/>
          </w:tcPr>
          <w:p>
            <w:r/>
            <w:r>
              <w:rPr>
                <w:b w:val="0"/>
                <w:sz w:val="18"/>
              </w:rPr>
              <w:t>Confidential documents may print only to approved secure-release or controlled-access printers.</w:t>
            </w:r>
          </w:p>
        </w:tc>
        <w:tc>
          <w:tcPr>
            <w:tcW w:type="dxa" w:w="3360"/>
          </w:tcPr>
          <w:p>
            <w:r/>
            <w:r>
              <w:rPr>
                <w:b w:val="0"/>
                <w:sz w:val="18"/>
              </w:rPr>
              <w:t>Deny public printer; allow secure printer or require human review.</w:t>
            </w:r>
          </w:p>
        </w:tc>
      </w:tr>
      <w:tr>
        <w:tc>
          <w:tcPr>
            <w:tcW w:type="dxa" w:w="3360"/>
          </w:tcPr>
          <w:p>
            <w:r/>
            <w:r>
              <w:rPr>
                <w:b w:val="0"/>
                <w:sz w:val="18"/>
              </w:rPr>
              <w:t>Physical custody</w:t>
            </w:r>
          </w:p>
        </w:tc>
        <w:tc>
          <w:tcPr>
            <w:tcW w:type="dxa" w:w="3360"/>
          </w:tcPr>
          <w:p>
            <w:r/>
            <w:r>
              <w:rPr>
                <w:b w:val="0"/>
                <w:sz w:val="18"/>
              </w:rPr>
              <w:t>Printed output must emerge where an authorized person can retrieve it without unreasonable exposure.</w:t>
            </w:r>
          </w:p>
        </w:tc>
        <w:tc>
          <w:tcPr>
            <w:tcW w:type="dxa" w:w="3360"/>
          </w:tcPr>
          <w:p>
            <w:r/>
            <w:r>
              <w:rPr>
                <w:b w:val="0"/>
                <w:sz w:val="18"/>
              </w:rPr>
              <w:t>Deny printer in open hallway or unrelated department.</w:t>
            </w:r>
          </w:p>
        </w:tc>
      </w:tr>
      <w:tr>
        <w:tc>
          <w:tcPr>
            <w:tcW w:type="dxa" w:w="3360"/>
          </w:tcPr>
          <w:p>
            <w:r/>
            <w:r>
              <w:rPr>
                <w:b w:val="0"/>
                <w:sz w:val="18"/>
              </w:rPr>
              <w:t>Operational proximity</w:t>
            </w:r>
          </w:p>
        </w:tc>
        <w:tc>
          <w:tcPr>
            <w:tcW w:type="dxa" w:w="3360"/>
          </w:tcPr>
          <w:p>
            <w:r/>
            <w:r>
              <w:rPr>
                <w:b w:val="0"/>
                <w:sz w:val="18"/>
              </w:rPr>
              <w:t>Printer must be within the approved work zone or reasonable retrieval boundary.</w:t>
            </w:r>
          </w:p>
        </w:tc>
        <w:tc>
          <w:tcPr>
            <w:tcW w:type="dxa" w:w="3360"/>
          </w:tcPr>
          <w:p>
            <w:r/>
            <w:r>
              <w:rPr>
                <w:b w:val="0"/>
                <w:sz w:val="18"/>
              </w:rPr>
              <w:t>Deny or reroute printer in another building or down the road.</w:t>
            </w:r>
          </w:p>
        </w:tc>
      </w:tr>
      <w:tr>
        <w:tc>
          <w:tcPr>
            <w:tcW w:type="dxa" w:w="3360"/>
          </w:tcPr>
          <w:p>
            <w:r/>
            <w:r>
              <w:rPr>
                <w:b w:val="0"/>
                <w:sz w:val="18"/>
              </w:rPr>
              <w:t>Accountability</w:t>
            </w:r>
          </w:p>
        </w:tc>
        <w:tc>
          <w:tcPr>
            <w:tcW w:type="dxa" w:w="3360"/>
          </w:tcPr>
          <w:p>
            <w:r/>
            <w:r>
              <w:rPr>
                <w:b w:val="0"/>
                <w:sz w:val="18"/>
              </w:rPr>
              <w:t>Printer must be attributable to a department, owner, or print queue with traceable use.</w:t>
            </w:r>
          </w:p>
        </w:tc>
        <w:tc>
          <w:tcPr>
            <w:tcW w:type="dxa" w:w="3360"/>
          </w:tcPr>
          <w:p>
            <w:r/>
            <w:r>
              <w:rPr>
                <w:b w:val="0"/>
                <w:sz w:val="18"/>
              </w:rPr>
              <w:t>Deny untracked printer for regulated packet.</w:t>
            </w:r>
          </w:p>
        </w:tc>
      </w:tr>
      <w:tr>
        <w:tc>
          <w:tcPr>
            <w:tcW w:type="dxa" w:w="3360"/>
          </w:tcPr>
          <w:p>
            <w:r/>
            <w:r>
              <w:rPr>
                <w:b w:val="0"/>
                <w:sz w:val="18"/>
              </w:rPr>
              <w:t>Financial/document integrity</w:t>
            </w:r>
          </w:p>
        </w:tc>
        <w:tc>
          <w:tcPr>
            <w:tcW w:type="dxa" w:w="3360"/>
          </w:tcPr>
          <w:p>
            <w:r/>
            <w:r>
              <w:rPr>
                <w:b w:val="0"/>
                <w:sz w:val="18"/>
              </w:rPr>
              <w:t>Packet must not be mixed with unrelated output or sent to uncontrolled location.</w:t>
            </w:r>
          </w:p>
        </w:tc>
        <w:tc>
          <w:tcPr>
            <w:tcW w:type="dxa" w:w="3360"/>
          </w:tcPr>
          <w:p>
            <w:r/>
            <w:r>
              <w:rPr>
                <w:b w:val="0"/>
                <w:sz w:val="18"/>
              </w:rPr>
              <w:t>Require secure-release or controlled print queue.</w:t>
            </w:r>
          </w:p>
        </w:tc>
      </w:tr>
      <w:tr>
        <w:tc>
          <w:tcPr>
            <w:tcW w:type="dxa" w:w="3360"/>
          </w:tcPr>
          <w:p>
            <w:r/>
            <w:r>
              <w:rPr>
                <w:b w:val="0"/>
                <w:sz w:val="18"/>
              </w:rPr>
              <w:t>Role authority</w:t>
            </w:r>
          </w:p>
        </w:tc>
        <w:tc>
          <w:tcPr>
            <w:tcW w:type="dxa" w:w="3360"/>
          </w:tcPr>
          <w:p>
            <w:r/>
            <w:r>
              <w:rPr>
                <w:b w:val="0"/>
                <w:sz w:val="18"/>
              </w:rPr>
              <w:t>Actor must be allowed to print the document class.</w:t>
            </w:r>
          </w:p>
        </w:tc>
        <w:tc>
          <w:tcPr>
            <w:tcW w:type="dxa" w:w="3360"/>
          </w:tcPr>
          <w:p>
            <w:r/>
            <w:r>
              <w:rPr>
                <w:b w:val="0"/>
                <w:sz w:val="18"/>
              </w:rPr>
              <w:t>Assistant may prepare packet but not print certain confidential records unless authorized.</w:t>
            </w:r>
          </w:p>
        </w:tc>
      </w:tr>
    </w:tbl>
    <w:p/>
    <w:p>
      <w:pPr>
        <w:pStyle w:val="Heading1"/>
      </w:pPr>
      <w:r>
        <w:t>10. Travel-Agent Static Governance Example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
              <w:rPr>
                <w:b/>
                <w:sz w:val="18"/>
              </w:rPr>
              <w:t>Domain</w:t>
            </w:r>
          </w:p>
        </w:tc>
        <w:tc>
          <w:tcPr>
            <w:tcW w:type="dxa" w:w="3360"/>
            <w:shd w:fill="D9EAF7"/>
          </w:tcPr>
          <w:p>
            <w:r/>
            <w:r>
              <w:rPr>
                <w:b/>
                <w:sz w:val="18"/>
              </w:rPr>
              <w:t>Static Constraint</w:t>
            </w:r>
          </w:p>
        </w:tc>
        <w:tc>
          <w:tcPr>
            <w:tcW w:type="dxa" w:w="3360"/>
            <w:shd w:fill="D9EAF7"/>
          </w:tcPr>
          <w:p>
            <w:r/>
            <w:r>
              <w:rPr>
                <w:b/>
                <w:sz w:val="18"/>
              </w:rPr>
              <w:t>Decision Impact</w:t>
            </w:r>
          </w:p>
        </w:tc>
      </w:tr>
      <w:tr>
        <w:tc>
          <w:tcPr>
            <w:tcW w:type="dxa" w:w="3360"/>
          </w:tcPr>
          <w:p>
            <w:r/>
            <w:r>
              <w:rPr>
                <w:b w:val="0"/>
                <w:sz w:val="18"/>
              </w:rPr>
              <w:t>Financial integrity</w:t>
            </w:r>
          </w:p>
        </w:tc>
        <w:tc>
          <w:tcPr>
            <w:tcW w:type="dxa" w:w="3360"/>
          </w:tcPr>
          <w:p>
            <w:r/>
            <w:r>
              <w:rPr>
                <w:b w:val="0"/>
                <w:sz w:val="18"/>
              </w:rPr>
              <w:t>Bookings must stay within approved travel class, per diem, reimbursement category, and budget authority.</w:t>
            </w:r>
          </w:p>
        </w:tc>
        <w:tc>
          <w:tcPr>
            <w:tcW w:type="dxa" w:w="3360"/>
          </w:tcPr>
          <w:p>
            <w:r/>
            <w:r>
              <w:rPr>
                <w:b w:val="0"/>
                <w:sz w:val="18"/>
              </w:rPr>
              <w:t>Allow search/draft itinerary; require review before purchase.</w:t>
            </w:r>
          </w:p>
        </w:tc>
      </w:tr>
      <w:tr>
        <w:tc>
          <w:tcPr>
            <w:tcW w:type="dxa" w:w="3360"/>
          </w:tcPr>
          <w:p>
            <w:r/>
            <w:r>
              <w:rPr>
                <w:b w:val="0"/>
                <w:sz w:val="18"/>
              </w:rPr>
              <w:t>Policy compliance</w:t>
            </w:r>
          </w:p>
        </w:tc>
        <w:tc>
          <w:tcPr>
            <w:tcW w:type="dxa" w:w="3360"/>
          </w:tcPr>
          <w:p>
            <w:r/>
            <w:r>
              <w:rPr>
                <w:b w:val="0"/>
                <w:sz w:val="18"/>
              </w:rPr>
              <w:t>Travel must match institutional travel rules, preferred vendors, refundable/nonrefundable limits, and business-purpose requirements.</w:t>
            </w:r>
          </w:p>
        </w:tc>
        <w:tc>
          <w:tcPr>
            <w:tcW w:type="dxa" w:w="3360"/>
          </w:tcPr>
          <w:p>
            <w:r/>
            <w:r>
              <w:rPr>
                <w:b w:val="0"/>
                <w:sz w:val="18"/>
              </w:rPr>
              <w:t>Block noncompliant fare class or missing business purpose.</w:t>
            </w:r>
          </w:p>
        </w:tc>
      </w:tr>
      <w:tr>
        <w:tc>
          <w:tcPr>
            <w:tcW w:type="dxa" w:w="3360"/>
          </w:tcPr>
          <w:p>
            <w:r/>
            <w:r>
              <w:rPr>
                <w:b w:val="0"/>
                <w:sz w:val="18"/>
              </w:rPr>
              <w:t>Temporal feasibility</w:t>
            </w:r>
          </w:p>
        </w:tc>
        <w:tc>
          <w:tcPr>
            <w:tcW w:type="dxa" w:w="3360"/>
          </w:tcPr>
          <w:p>
            <w:r/>
            <w:r>
              <w:rPr>
                <w:b w:val="0"/>
                <w:sz w:val="18"/>
              </w:rPr>
              <w:t>Itinerary must satisfy static schedule constraints such as conference dates, arrival-before-event rules, and approved travel window.</w:t>
            </w:r>
          </w:p>
        </w:tc>
        <w:tc>
          <w:tcPr>
            <w:tcW w:type="dxa" w:w="3360"/>
          </w:tcPr>
          <w:p>
            <w:r/>
            <w:r>
              <w:rPr>
                <w:b w:val="0"/>
                <w:sz w:val="18"/>
              </w:rPr>
              <w:t>Deny itinerary arriving after required event start.</w:t>
            </w:r>
          </w:p>
        </w:tc>
      </w:tr>
      <w:tr>
        <w:tc>
          <w:tcPr>
            <w:tcW w:type="dxa" w:w="3360"/>
          </w:tcPr>
          <w:p>
            <w:r/>
            <w:r>
              <w:rPr>
                <w:b w:val="0"/>
                <w:sz w:val="18"/>
              </w:rPr>
              <w:t>Identity / authorization</w:t>
            </w:r>
          </w:p>
        </w:tc>
        <w:tc>
          <w:tcPr>
            <w:tcW w:type="dxa" w:w="3360"/>
          </w:tcPr>
          <w:p>
            <w:r/>
            <w:r>
              <w:rPr>
                <w:b w:val="0"/>
                <w:sz w:val="18"/>
              </w:rPr>
              <w:t>Traveler identity, role, funding source, and approver chain must match the request.</w:t>
            </w:r>
          </w:p>
        </w:tc>
        <w:tc>
          <w:tcPr>
            <w:tcW w:type="dxa" w:w="3360"/>
          </w:tcPr>
          <w:p>
            <w:r/>
            <w:r>
              <w:rPr>
                <w:b w:val="0"/>
                <w:sz w:val="18"/>
              </w:rPr>
              <w:t>Require review if traveler or approver is unclear.</w:t>
            </w:r>
          </w:p>
        </w:tc>
      </w:tr>
      <w:tr>
        <w:tc>
          <w:tcPr>
            <w:tcW w:type="dxa" w:w="3360"/>
          </w:tcPr>
          <w:p>
            <w:r/>
            <w:r>
              <w:rPr>
                <w:b w:val="0"/>
                <w:sz w:val="18"/>
              </w:rPr>
              <w:t>Risk / safety</w:t>
            </w:r>
          </w:p>
        </w:tc>
        <w:tc>
          <w:tcPr>
            <w:tcW w:type="dxa" w:w="3360"/>
          </w:tcPr>
          <w:p>
            <w:r/>
            <w:r>
              <w:rPr>
                <w:b w:val="0"/>
                <w:sz w:val="18"/>
              </w:rPr>
              <w:t>Destinations or routing classes may require review under travel advisories or institutional rules.</w:t>
            </w:r>
          </w:p>
        </w:tc>
        <w:tc>
          <w:tcPr>
            <w:tcW w:type="dxa" w:w="3360"/>
          </w:tcPr>
          <w:p>
            <w:r/>
            <w:r>
              <w:rPr>
                <w:b w:val="0"/>
                <w:sz w:val="18"/>
              </w:rPr>
              <w:t>Escalate restricted destination.</w:t>
            </w:r>
          </w:p>
        </w:tc>
      </w:tr>
      <w:tr>
        <w:tc>
          <w:tcPr>
            <w:tcW w:type="dxa" w:w="3360"/>
          </w:tcPr>
          <w:p>
            <w:r/>
            <w:r>
              <w:rPr>
                <w:b w:val="0"/>
                <w:sz w:val="18"/>
              </w:rPr>
              <w:t>Finalization authority</w:t>
            </w:r>
          </w:p>
        </w:tc>
        <w:tc>
          <w:tcPr>
            <w:tcW w:type="dxa" w:w="3360"/>
          </w:tcPr>
          <w:p>
            <w:r/>
            <w:r>
              <w:rPr>
                <w:b w:val="0"/>
                <w:sz w:val="18"/>
              </w:rPr>
              <w:t>Agent may search and draft but not purchase unless explicitly authorized.</w:t>
            </w:r>
          </w:p>
        </w:tc>
        <w:tc>
          <w:tcPr>
            <w:tcW w:type="dxa" w:w="3360"/>
          </w:tcPr>
          <w:p>
            <w:r/>
            <w:r>
              <w:rPr>
                <w:b w:val="0"/>
                <w:sz w:val="18"/>
              </w:rPr>
              <w:t>Allow draft itinerary; deny autonomous booking.</w:t>
            </w:r>
          </w:p>
        </w:tc>
      </w:tr>
    </w:tbl>
    <w:p/>
    <w:p>
      <w:pPr>
        <w:pStyle w:val="Heading1"/>
      </w:pPr>
      <w:r>
        <w:t>11. Reimbursement-Agent Static Governance Example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
              <w:rPr>
                <w:b/>
                <w:sz w:val="18"/>
              </w:rPr>
              <w:t>Domain</w:t>
            </w:r>
          </w:p>
        </w:tc>
        <w:tc>
          <w:tcPr>
            <w:tcW w:type="dxa" w:w="3360"/>
            <w:shd w:fill="D9EAF7"/>
          </w:tcPr>
          <w:p>
            <w:r/>
            <w:r>
              <w:rPr>
                <w:b/>
                <w:sz w:val="18"/>
              </w:rPr>
              <w:t>Static Constraint</w:t>
            </w:r>
          </w:p>
        </w:tc>
        <w:tc>
          <w:tcPr>
            <w:tcW w:type="dxa" w:w="3360"/>
            <w:shd w:fill="D9EAF7"/>
          </w:tcPr>
          <w:p>
            <w:r/>
            <w:r>
              <w:rPr>
                <w:b/>
                <w:sz w:val="18"/>
              </w:rPr>
              <w:t>Decision Impact</w:t>
            </w:r>
          </w:p>
        </w:tc>
      </w:tr>
      <w:tr>
        <w:tc>
          <w:tcPr>
            <w:tcW w:type="dxa" w:w="3360"/>
          </w:tcPr>
          <w:p>
            <w:r/>
            <w:r>
              <w:rPr>
                <w:b w:val="0"/>
                <w:sz w:val="18"/>
              </w:rPr>
              <w:t>Financial integrity</w:t>
            </w:r>
          </w:p>
        </w:tc>
        <w:tc>
          <w:tcPr>
            <w:tcW w:type="dxa" w:w="3360"/>
          </w:tcPr>
          <w:p>
            <w:r/>
            <w:r>
              <w:rPr>
                <w:b w:val="0"/>
                <w:sz w:val="18"/>
              </w:rPr>
              <w:t>Expense amount, category, and documentation must be supported by receipt and policy.</w:t>
            </w:r>
          </w:p>
        </w:tc>
        <w:tc>
          <w:tcPr>
            <w:tcW w:type="dxa" w:w="3360"/>
          </w:tcPr>
          <w:p>
            <w:r/>
            <w:r>
              <w:rPr>
                <w:b w:val="0"/>
                <w:sz w:val="18"/>
              </w:rPr>
              <w:t>Allow extraction; require review for ambiguous reimbursement eligibility.</w:t>
            </w:r>
          </w:p>
        </w:tc>
      </w:tr>
      <w:tr>
        <w:tc>
          <w:tcPr>
            <w:tcW w:type="dxa" w:w="3360"/>
          </w:tcPr>
          <w:p>
            <w:r/>
            <w:r>
              <w:rPr>
                <w:b w:val="0"/>
                <w:sz w:val="18"/>
              </w:rPr>
              <w:t>Tax/legal integrity</w:t>
            </w:r>
          </w:p>
        </w:tc>
        <w:tc>
          <w:tcPr>
            <w:tcW w:type="dxa" w:w="3360"/>
          </w:tcPr>
          <w:p>
            <w:r/>
            <w:r>
              <w:rPr>
                <w:b w:val="0"/>
                <w:sz w:val="18"/>
              </w:rPr>
              <w:t>Certain expense types require special handling or are not automatically classifiable.</w:t>
            </w:r>
          </w:p>
        </w:tc>
        <w:tc>
          <w:tcPr>
            <w:tcW w:type="dxa" w:w="3360"/>
          </w:tcPr>
          <w:p>
            <w:r/>
            <w:r>
              <w:rPr>
                <w:b w:val="0"/>
                <w:sz w:val="18"/>
              </w:rPr>
              <w:t>Require review for taxable, alcohol, spouse travel, gift, or unusual categories.</w:t>
            </w:r>
          </w:p>
        </w:tc>
      </w:tr>
      <w:tr>
        <w:tc>
          <w:tcPr>
            <w:tcW w:type="dxa" w:w="3360"/>
          </w:tcPr>
          <w:p>
            <w:r/>
            <w:r>
              <w:rPr>
                <w:b w:val="0"/>
                <w:sz w:val="18"/>
              </w:rPr>
              <w:t>Policy compliance</w:t>
            </w:r>
          </w:p>
        </w:tc>
        <w:tc>
          <w:tcPr>
            <w:tcW w:type="dxa" w:w="3360"/>
          </w:tcPr>
          <w:p>
            <w:r/>
            <w:r>
              <w:rPr>
                <w:b w:val="0"/>
                <w:sz w:val="18"/>
              </w:rPr>
              <w:t>Who/what/when/where/why business purpose must be supported by evidence.</w:t>
            </w:r>
          </w:p>
        </w:tc>
        <w:tc>
          <w:tcPr>
            <w:tcW w:type="dxa" w:w="3360"/>
          </w:tcPr>
          <w:p>
            <w:r/>
            <w:r>
              <w:rPr>
                <w:b w:val="0"/>
                <w:sz w:val="18"/>
              </w:rPr>
              <w:t>Request more evidence if agenda or purpose is missing.</w:t>
            </w:r>
          </w:p>
        </w:tc>
      </w:tr>
      <w:tr>
        <w:tc>
          <w:tcPr>
            <w:tcW w:type="dxa" w:w="3360"/>
          </w:tcPr>
          <w:p>
            <w:r/>
            <w:r>
              <w:rPr>
                <w:b w:val="0"/>
                <w:sz w:val="18"/>
              </w:rPr>
              <w:t>Data integrity</w:t>
            </w:r>
          </w:p>
        </w:tc>
        <w:tc>
          <w:tcPr>
            <w:tcW w:type="dxa" w:w="3360"/>
          </w:tcPr>
          <w:p>
            <w:r/>
            <w:r>
              <w:rPr>
                <w:b w:val="0"/>
                <w:sz w:val="18"/>
              </w:rPr>
              <w:t>Agent must distinguish evidence from inference.</w:t>
            </w:r>
          </w:p>
        </w:tc>
        <w:tc>
          <w:tcPr>
            <w:tcW w:type="dxa" w:w="3360"/>
          </w:tcPr>
          <w:p>
            <w:r/>
            <w:r>
              <w:rPr>
                <w:b w:val="0"/>
                <w:sz w:val="18"/>
              </w:rPr>
              <w:t>Allow draft but require assumptions to be marked.</w:t>
            </w:r>
          </w:p>
        </w:tc>
      </w:tr>
      <w:tr>
        <w:tc>
          <w:tcPr>
            <w:tcW w:type="dxa" w:w="3360"/>
          </w:tcPr>
          <w:p>
            <w:r/>
            <w:r>
              <w:rPr>
                <w:b w:val="0"/>
                <w:sz w:val="18"/>
              </w:rPr>
              <w:t>Accountability</w:t>
            </w:r>
          </w:p>
        </w:tc>
        <w:tc>
          <w:tcPr>
            <w:tcW w:type="dxa" w:w="3360"/>
          </w:tcPr>
          <w:p>
            <w:r/>
            <w:r>
              <w:rPr>
                <w:b w:val="0"/>
                <w:sz w:val="18"/>
              </w:rPr>
              <w:t>Agent output must identify unresolved gaps and human-review requirements.</w:t>
            </w:r>
          </w:p>
        </w:tc>
        <w:tc>
          <w:tcPr>
            <w:tcW w:type="dxa" w:w="3360"/>
          </w:tcPr>
          <w:p>
            <w:r/>
            <w:r>
              <w:rPr>
                <w:b w:val="0"/>
                <w:sz w:val="18"/>
              </w:rPr>
              <w:t>Deny mark-ready if missing evidence exists.</w:t>
            </w:r>
          </w:p>
        </w:tc>
      </w:tr>
      <w:tr>
        <w:tc>
          <w:tcPr>
            <w:tcW w:type="dxa" w:w="3360"/>
          </w:tcPr>
          <w:p>
            <w:r/>
            <w:r>
              <w:rPr>
                <w:b w:val="0"/>
                <w:sz w:val="18"/>
              </w:rPr>
              <w:t>Finalization authority</w:t>
            </w:r>
          </w:p>
        </w:tc>
        <w:tc>
          <w:tcPr>
            <w:tcW w:type="dxa" w:w="3360"/>
          </w:tcPr>
          <w:p>
            <w:r/>
            <w:r>
              <w:rPr>
                <w:b w:val="0"/>
                <w:sz w:val="18"/>
              </w:rPr>
              <w:t>Agent may prepare a packet but not approve or submit unless authorized.</w:t>
            </w:r>
          </w:p>
        </w:tc>
        <w:tc>
          <w:tcPr>
            <w:tcW w:type="dxa" w:w="3360"/>
          </w:tcPr>
          <w:p>
            <w:r/>
            <w:r>
              <w:rPr>
                <w:b w:val="0"/>
                <w:sz w:val="18"/>
              </w:rPr>
              <w:t>Deny approval/submission; allow human-review packet.</w:t>
            </w:r>
          </w:p>
        </w:tc>
      </w:tr>
    </w:tbl>
    <w:p/>
    <w:p>
      <w:pPr>
        <w:pStyle w:val="Heading1"/>
      </w:pPr>
      <w:r>
        <w:t>12. Phase-Two Boundary</w:t>
      </w:r>
    </w:p>
    <w:p>
      <w:r>
        <w:t>If a deployment requires current runtime feedback, PV-PP must move into an inline tool runtime or proxy. That architecture receives the tool call and the tool result. It can inspect returned status, partial execution, unexpected outputs, completion, and recovery triggers. It carries more overhead because it actually governs execution, not merely pre-execution static admission.</w:t>
      </w:r>
    </w:p>
    <w:p>
      <w:r>
        <w:t>The phase-one sidecar should not claim to guarantee execution viability. Its credible claim is static governance before tool use.</w:t>
      </w:r>
    </w:p>
    <w:p>
      <w:pPr>
        <w:pStyle w:val="Heading1"/>
      </w:pPr>
      <w:r>
        <w:t>13. Sidecar Minimum Inputs</w:t>
      </w:r>
    </w:p>
    <w:p>
      <w:pPr>
        <w:pStyle w:val="ListBullet"/>
      </w:pPr>
      <w:r>
        <w:t>Actor identity or role.</w:t>
      </w:r>
    </w:p>
    <w:p>
      <w:pPr>
        <w:pStyle w:val="ListBullet"/>
      </w:pPr>
      <w:r>
        <w:t>Workflow or agent identity.</w:t>
      </w:r>
    </w:p>
    <w:p>
      <w:pPr>
        <w:pStyle w:val="ListBullet"/>
      </w:pPr>
      <w:r>
        <w:t>Proposed tool or tool class.</w:t>
      </w:r>
    </w:p>
    <w:p>
      <w:pPr>
        <w:pStyle w:val="ListBullet"/>
      </w:pPr>
      <w:r>
        <w:t>Proposed action type.</w:t>
      </w:r>
    </w:p>
    <w:p>
      <w:pPr>
        <w:pStyle w:val="ListBullet"/>
      </w:pPr>
      <w:r>
        <w:t>Authority requested: read, search, draft, write, send, submit, delete, approve, finalize.</w:t>
      </w:r>
    </w:p>
    <w:p>
      <w:pPr>
        <w:pStyle w:val="ListBullet"/>
      </w:pPr>
      <w:r>
        <w:t>Purpose of the action.</w:t>
      </w:r>
    </w:p>
    <w:p>
      <w:pPr>
        <w:pStyle w:val="ListBullet"/>
      </w:pPr>
      <w:r>
        <w:t>Target object, document, data class, or output channel.</w:t>
      </w:r>
    </w:p>
    <w:p>
      <w:pPr>
        <w:pStyle w:val="ListBullet"/>
      </w:pPr>
      <w:r>
        <w:t>Static tool attributes relevant to the approved governance frame.</w:t>
      </w:r>
    </w:p>
    <w:p>
      <w:pPr>
        <w:pStyle w:val="ListBullet"/>
      </w:pPr>
      <w:r>
        <w:t>Domain frame identifier and version.</w:t>
      </w:r>
    </w:p>
    <w:p>
      <w:pPr>
        <w:pStyle w:val="ListBullet"/>
      </w:pPr>
      <w:r>
        <w:t>Known evidence state.</w:t>
      </w:r>
    </w:p>
    <w:p>
      <w:pPr>
        <w:pStyle w:val="ListBullet"/>
      </w:pPr>
      <w:r>
        <w:t>Sensitivity class.</w:t>
      </w:r>
    </w:p>
    <w:p>
      <w:pPr>
        <w:pStyle w:val="ListBullet"/>
      </w:pPr>
      <w:r>
        <w:t>Reversibility class.</w:t>
      </w:r>
    </w:p>
    <w:p>
      <w:pPr>
        <w:pStyle w:val="ListBullet"/>
      </w:pPr>
      <w:r>
        <w:t>Finalization or de facto approval risk.</w:t>
      </w:r>
    </w:p>
    <w:p>
      <w:pPr>
        <w:pStyle w:val="ListBullet"/>
      </w:pPr>
      <w:r>
        <w:t>Human-review availability or requirement.</w:t>
      </w:r>
    </w:p>
    <w:p>
      <w:pPr>
        <w:pStyle w:val="Heading1"/>
      </w:pPr>
      <w:r>
        <w:t>14. Sidecar Minimum Outputs</w:t>
      </w:r>
    </w:p>
    <w:p>
      <w:pPr>
        <w:pStyle w:val="ListBullet"/>
      </w:pPr>
      <w:r>
        <w:t>Admission decision.</w:t>
      </w:r>
    </w:p>
    <w:p>
      <w:pPr>
        <w:pStyle w:val="ListBullet"/>
      </w:pPr>
      <w:r>
        <w:t>Limits or downgraded authority.</w:t>
      </w:r>
    </w:p>
    <w:p>
      <w:pPr>
        <w:pStyle w:val="ListBullet"/>
      </w:pPr>
      <w:r>
        <w:t>Required human review.</w:t>
      </w:r>
    </w:p>
    <w:p>
      <w:pPr>
        <w:pStyle w:val="ListBullet"/>
      </w:pPr>
      <w:r>
        <w:t>Required evidence or missing-evidence flags.</w:t>
      </w:r>
    </w:p>
    <w:p>
      <w:pPr>
        <w:pStyle w:val="ListBullet"/>
      </w:pPr>
      <w:r>
        <w:t>Escalation target if applicable.</w:t>
      </w:r>
    </w:p>
    <w:p>
      <w:pPr>
        <w:pStyle w:val="ListBullet"/>
      </w:pPr>
      <w:r>
        <w:t>Reason codes tied to Productive Power domains or constraints.</w:t>
      </w:r>
    </w:p>
    <w:p>
      <w:pPr>
        <w:pStyle w:val="ListBullet"/>
      </w:pPr>
      <w:r>
        <w:t>Trace requirement.</w:t>
      </w:r>
    </w:p>
    <w:p>
      <w:pPr>
        <w:pStyle w:val="ListBullet"/>
      </w:pPr>
      <w:r>
        <w:t>Reframing flag if the request reveals an incomplete governance frame.</w:t>
      </w:r>
    </w:p>
    <w:p>
      <w:pPr>
        <w:pStyle w:val="Heading1"/>
      </w:pPr>
      <w:r>
        <w:t>15. What Makes the Sidecar Useful</w:t>
      </w:r>
    </w:p>
    <w:p>
      <w:r>
        <w:t>The sidecar is useful only if static constraints alter decisions. The target examples should therefore show clear differences between tool availability and tool admissibility. A tool can exist, be callable, and even be technically capable, but still be inadmissible under the PV-PP domain frame. That is the core phase-one value proposition.</w:t>
      </w:r>
    </w:p>
    <w:p>
      <w:pPr>
        <w:pStyle w:val="Heading1"/>
      </w:pPr>
      <w:r>
        <w:t>16. Document Status</w:t>
      </w:r>
    </w:p>
    <w:p>
      <w:r>
        <w:t>This v0.2 draft should be treated as the corrected baseline for the phase-one sidecar. The next downstream artifact should be a static Tool Action Admission Request Schema that excludes dynamic tool-state requirements and encodes only the fields needed for static admission governance.</w:t>
      </w:r>
    </w:p>
    <w:sectPr w:rsidR="00FC693F" w:rsidRPr="0006063C" w:rsidSect="00034616">
      <w:headerReference w:type="default" r:id="rId9"/>
      <w:footerReference w:type="default" r:id="rId10"/>
      <w:pgSz w:w="12240" w:h="15840"/>
      <w:pgMar w:top="1008" w:right="1080" w:bottom="1008"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A5A5A"/>
        <w:sz w:val="16"/>
      </w:rPr>
      <w:t>PV-PP Framework Workstream 4 - Runtime / Execution Formalization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A5A5A"/>
        <w:sz w:val="16"/>
      </w:rPr>
      <w:t>PV-PP Tool Action Admission Sidecar v0.2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1F1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1F1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1F1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ptos Display" w:hAnsi="Aptos Display"/>
      <w:b/>
      <w:bCs/>
      <w:i/>
      <w:iCs/>
      <w:color w:val="1F1F1F"/>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